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E2" w:rsidRPr="003B777B" w:rsidRDefault="00BF0FE2">
      <w:pPr>
        <w:rPr>
          <w:b/>
        </w:rPr>
      </w:pPr>
      <w:r w:rsidRPr="003B777B">
        <w:rPr>
          <w:b/>
        </w:rPr>
        <w:t xml:space="preserve">Attachment G – Business Plan </w:t>
      </w:r>
    </w:p>
    <w:p w:rsidR="00BF0FE2" w:rsidRDefault="00BF0FE2">
      <w:r>
        <w:t>CTC has provided internet services to the rural homes and farm businesses in the proposed project area since 1997.  With the ever changing landscape of our customers’ needs, our current technology is unable to provide modern broadband services of 25 DL and 3 UL or greater to all locations.</w:t>
      </w:r>
    </w:p>
    <w:p w:rsidR="00BF0FE2" w:rsidRDefault="00BF0FE2">
      <w:r>
        <w:t xml:space="preserve"> CTC intends to replace our existing DSL technology with fiber to the home. New fiber optic transport cards and shelves will be installed in an existing hut that is currently tied to our central office via fiber backhaul.  From the hut, CTC will utilize Active Ethernet technology to provide fiber broadband services to all homes, farms, and agribusiness locations within the given geography. CTC will contract the construction of underground mainline fiber and fiber drops. CTC employees will oversee this construction, ensure permits and variances of ROW are obtained, ensure locates of existing infrastructure occur, and complete the installation of all components at the customer premise. Improvements planned within the study area will allow us to retire aging copper equipment and </w:t>
      </w:r>
      <w:bookmarkStart w:id="0" w:name="_GoBack"/>
      <w:bookmarkEnd w:id="0"/>
      <w:r>
        <w:t>facilities.  Having fiber to the home to each of our rural customers, allows us to meet their individual demands for more broadband services that will allow them to connect to the world.</w:t>
      </w:r>
    </w:p>
    <w:p w:rsidR="00BF0FE2" w:rsidRDefault="00BF0FE2">
      <w:r>
        <w:t xml:space="preserve"> The project area is within the Cozad Tele</w:t>
      </w:r>
      <w:r w:rsidR="003B777B">
        <w:t xml:space="preserve">phone Company Exchange boundary.  </w:t>
      </w:r>
      <w:r>
        <w:t xml:space="preserve">CTC proposes to deploy fiber to the home throughout the project area with the assistance of </w:t>
      </w:r>
      <w:r w:rsidR="00D356F4">
        <w:t>Broadband Bridge Program</w:t>
      </w:r>
      <w:r>
        <w:t xml:space="preserve"> funds and internal financing. </w:t>
      </w:r>
    </w:p>
    <w:p w:rsidR="004572CF" w:rsidRDefault="00BF0FE2">
      <w:r>
        <w:t xml:space="preserve">The project area is approximately </w:t>
      </w:r>
      <w:r w:rsidR="00DA34CB">
        <w:t>20</w:t>
      </w:r>
      <w:r>
        <w:t xml:space="preserve"> square miles. T</w:t>
      </w:r>
      <w:r w:rsidR="008B2AEF">
        <w:t>he overall project will serve 78</w:t>
      </w:r>
      <w:r>
        <w:t xml:space="preserve"> potential locations with fiber to the home connectivity. Existing copper-based facilities will be retired. Locations within the project area will have access to broadband connections capable of 100 Mbps DL and 100 Mbps UL or greater. Within the project boundary are census blocks that constitute a large percentage of build costs per location. CTC has outlined the highest cost census areas and approximately 90 locations that are currently served with less than 25 Mbps DL and 3 Mbps UL. If awarded, CTC intends to comp</w:t>
      </w:r>
      <w:r w:rsidR="00A35ECB">
        <w:t>lete this project in the next 12</w:t>
      </w:r>
      <w:r>
        <w:t xml:space="preserve"> months. While the grant request is based on </w:t>
      </w:r>
      <w:r w:rsidR="00D356F4">
        <w:t>Broadband Bridge Program</w:t>
      </w:r>
      <w:r w:rsidRPr="00D356F4">
        <w:t xml:space="preserve"> 2 census blocks</w:t>
      </w:r>
      <w:r>
        <w:t>, all locations within the project area will be converted to fiber.</w:t>
      </w:r>
    </w:p>
    <w:sectPr w:rsidR="004572CF" w:rsidSect="0045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E2"/>
    <w:rsid w:val="0020613E"/>
    <w:rsid w:val="003B777B"/>
    <w:rsid w:val="004572CF"/>
    <w:rsid w:val="00857D0A"/>
    <w:rsid w:val="008B2AEF"/>
    <w:rsid w:val="00A35ECB"/>
    <w:rsid w:val="00BF0FE2"/>
    <w:rsid w:val="00D356F4"/>
    <w:rsid w:val="00DA34CB"/>
    <w:rsid w:val="00F8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C2E7-0AD2-43CE-BBBB-77B4763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dc:creator>
  <cp:lastModifiedBy>Payroll</cp:lastModifiedBy>
  <cp:revision>5</cp:revision>
  <dcterms:created xsi:type="dcterms:W3CDTF">2022-07-01T13:49:00Z</dcterms:created>
  <dcterms:modified xsi:type="dcterms:W3CDTF">2022-07-01T20:01:00Z</dcterms:modified>
</cp:coreProperties>
</file>