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10F36" w:rsidRDefault="009C369C" w14:paraId="340E6553" w14:textId="77777777">
      <w:pPr>
        <w:pStyle w:val="BodyText"/>
        <w:ind w:left="7968"/>
        <w:rPr>
          <w:rFonts w:ascii="Times New Roman"/>
          <w:sz w:val="20"/>
        </w:rPr>
      </w:pPr>
      <w:r>
        <w:rPr>
          <w:rFonts w:ascii="Times New Roman"/>
          <w:noProof/>
          <w:sz w:val="20"/>
        </w:rPr>
        <w:drawing>
          <wp:inline distT="0" distB="0" distL="0" distR="0" wp14:anchorId="340E655D" wp14:editId="340E655E">
            <wp:extent cx="936296" cy="32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36296" cy="320325"/>
                    </a:xfrm>
                    <a:prstGeom prst="rect">
                      <a:avLst/>
                    </a:prstGeom>
                  </pic:spPr>
                </pic:pic>
              </a:graphicData>
            </a:graphic>
          </wp:inline>
        </w:drawing>
      </w:r>
    </w:p>
    <w:p w:rsidR="00510F36" w:rsidRDefault="009C369C" w14:paraId="340E6554" w14:textId="77777777">
      <w:pPr>
        <w:pStyle w:val="BodyText"/>
        <w:rPr>
          <w:rFonts w:ascii="Times New Roman"/>
          <w:sz w:val="26"/>
        </w:rPr>
      </w:pPr>
      <w:r>
        <w:rPr>
          <w:noProof/>
        </w:rPr>
        <w:drawing>
          <wp:anchor distT="0" distB="0" distL="0" distR="0" simplePos="0" relativeHeight="251658240" behindDoc="0" locked="0" layoutInCell="1" allowOverlap="1" wp14:anchorId="340E655F" wp14:editId="340E6560">
            <wp:simplePos x="0" y="0"/>
            <wp:positionH relativeFrom="page">
              <wp:posOffset>914400</wp:posOffset>
            </wp:positionH>
            <wp:positionV relativeFrom="paragraph">
              <wp:posOffset>205104</wp:posOffset>
            </wp:positionV>
            <wp:extent cx="5998694" cy="53244"/>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998694" cy="53244"/>
                    </a:xfrm>
                    <a:prstGeom prst="rect">
                      <a:avLst/>
                    </a:prstGeom>
                  </pic:spPr>
                </pic:pic>
              </a:graphicData>
            </a:graphic>
          </wp:anchor>
        </w:drawing>
      </w:r>
    </w:p>
    <w:p w:rsidR="00510F36" w:rsidRDefault="00510F36" w14:paraId="340E6555" w14:textId="77777777">
      <w:pPr>
        <w:pStyle w:val="BodyText"/>
        <w:spacing w:before="5"/>
        <w:rPr>
          <w:rFonts w:ascii="Times New Roman"/>
          <w:sz w:val="19"/>
        </w:rPr>
      </w:pPr>
    </w:p>
    <w:p w:rsidRPr="00D400D2" w:rsidR="00510F36" w:rsidRDefault="009C369C" w14:paraId="340E6556" w14:textId="656C9CA0">
      <w:pPr>
        <w:pStyle w:val="Title"/>
        <w:spacing w:before="51"/>
        <w:rPr>
          <w:color w:val="00AAF4"/>
          <w:spacing w:val="-10"/>
        </w:rPr>
      </w:pPr>
      <w:r w:rsidRPr="00D400D2">
        <w:rPr>
          <w:color w:val="00AAF4"/>
        </w:rPr>
        <w:t>Attachment</w:t>
      </w:r>
      <w:r w:rsidRPr="00D400D2">
        <w:rPr>
          <w:color w:val="00AAF4"/>
          <w:spacing w:val="-3"/>
        </w:rPr>
        <w:t xml:space="preserve"> </w:t>
      </w:r>
      <w:r w:rsidRPr="00D400D2">
        <w:rPr>
          <w:color w:val="00AAF4"/>
          <w:spacing w:val="-10"/>
        </w:rPr>
        <w:t>E</w:t>
      </w:r>
    </w:p>
    <w:p w:rsidRPr="008D270E" w:rsidR="00510F36" w:rsidP="008D270E" w:rsidRDefault="009C369C" w14:paraId="340E6558" w14:textId="3E43899B">
      <w:pPr>
        <w:pStyle w:val="Title"/>
        <w:spacing w:line="273" w:lineRule="auto"/>
        <w:ind w:right="2819"/>
      </w:pPr>
      <w:r w:rsidRPr="00D400D2">
        <w:rPr>
          <w:color w:val="00AAF4"/>
        </w:rPr>
        <w:t>Technical</w:t>
      </w:r>
      <w:r w:rsidRPr="00D400D2">
        <w:rPr>
          <w:color w:val="00AAF4"/>
          <w:spacing w:val="-14"/>
        </w:rPr>
        <w:t xml:space="preserve"> </w:t>
      </w:r>
      <w:r w:rsidRPr="00D400D2">
        <w:rPr>
          <w:color w:val="00AAF4"/>
        </w:rPr>
        <w:t>Capability</w:t>
      </w:r>
      <w:r w:rsidRPr="00D400D2">
        <w:rPr>
          <w:color w:val="00AAF4"/>
          <w:spacing w:val="-14"/>
        </w:rPr>
        <w:t xml:space="preserve"> </w:t>
      </w:r>
      <w:r w:rsidRPr="00D400D2">
        <w:rPr>
          <w:color w:val="00AAF4"/>
        </w:rPr>
        <w:t>Project</w:t>
      </w:r>
      <w:r w:rsidRPr="00D400D2">
        <w:rPr>
          <w:color w:val="00AAF4"/>
          <w:spacing w:val="-13"/>
        </w:rPr>
        <w:t xml:space="preserve"> </w:t>
      </w:r>
      <w:r w:rsidRPr="00D400D2">
        <w:rPr>
          <w:color w:val="00AAF4"/>
        </w:rPr>
        <w:t xml:space="preserve">Explanation Cox </w:t>
      </w:r>
      <w:r w:rsidRPr="00D400D2" w:rsidR="003D190F">
        <w:rPr>
          <w:color w:val="00AAF4"/>
        </w:rPr>
        <w:t>Nebraska Telcom</w:t>
      </w:r>
    </w:p>
    <w:p w:rsidR="00510F36" w:rsidRDefault="00510F36" w14:paraId="340E6559" w14:textId="77777777">
      <w:pPr>
        <w:pStyle w:val="BodyText"/>
        <w:spacing w:before="9"/>
        <w:rPr>
          <w:b/>
          <w:sz w:val="27"/>
        </w:rPr>
      </w:pPr>
    </w:p>
    <w:p w:rsidRPr="00A170B1" w:rsidR="425ABBB2" w:rsidP="007859B8" w:rsidRDefault="009C369C" w14:paraId="2EEB552D" w14:textId="33EFD064">
      <w:pPr>
        <w:spacing w:line="360" w:lineRule="auto"/>
        <w:ind w:firstLine="720"/>
        <w:rPr>
          <w:sz w:val="24"/>
          <w:szCs w:val="24"/>
        </w:rPr>
      </w:pPr>
      <w:r w:rsidRPr="00A170B1" w:rsidR="009C369C">
        <w:rPr>
          <w:sz w:val="24"/>
          <w:szCs w:val="24"/>
        </w:rPr>
        <w:t>Cox</w:t>
      </w:r>
      <w:r w:rsidRPr="00A170B1" w:rsidR="009C369C">
        <w:rPr>
          <w:spacing w:val="-4"/>
          <w:sz w:val="24"/>
          <w:szCs w:val="24"/>
        </w:rPr>
        <w:t xml:space="preserve"> </w:t>
      </w:r>
      <w:r w:rsidRPr="00A170B1" w:rsidR="009C369C">
        <w:rPr>
          <w:sz w:val="24"/>
          <w:szCs w:val="24"/>
        </w:rPr>
        <w:t>Communications</w:t>
      </w:r>
      <w:r w:rsidRPr="00A170B1" w:rsidR="009C369C">
        <w:rPr>
          <w:spacing w:val="-5"/>
          <w:sz w:val="24"/>
          <w:szCs w:val="24"/>
        </w:rPr>
        <w:t xml:space="preserve"> </w:t>
      </w:r>
      <w:r w:rsidRPr="00A170B1" w:rsidR="009C369C">
        <w:rPr>
          <w:sz w:val="24"/>
          <w:szCs w:val="24"/>
        </w:rPr>
        <w:t>is</w:t>
      </w:r>
      <w:r w:rsidRPr="00A170B1" w:rsidR="009C369C">
        <w:rPr>
          <w:spacing w:val="-5"/>
          <w:sz w:val="24"/>
          <w:szCs w:val="24"/>
        </w:rPr>
        <w:t xml:space="preserve"> </w:t>
      </w:r>
      <w:r w:rsidRPr="00A170B1" w:rsidR="009C369C">
        <w:rPr>
          <w:sz w:val="24"/>
          <w:szCs w:val="24"/>
        </w:rPr>
        <w:t>a</w:t>
      </w:r>
      <w:r w:rsidRPr="00A170B1" w:rsidR="009C369C">
        <w:rPr>
          <w:spacing w:val="-2"/>
          <w:sz w:val="24"/>
          <w:szCs w:val="24"/>
        </w:rPr>
        <w:t xml:space="preserve"> </w:t>
      </w:r>
      <w:r w:rsidRPr="00A170B1" w:rsidR="009C369C">
        <w:rPr>
          <w:sz w:val="24"/>
          <w:szCs w:val="24"/>
        </w:rPr>
        <w:t>long-trusted</w:t>
      </w:r>
      <w:r w:rsidRPr="00A170B1" w:rsidR="009C369C">
        <w:rPr>
          <w:spacing w:val="-3"/>
          <w:sz w:val="24"/>
          <w:szCs w:val="24"/>
        </w:rPr>
        <w:t xml:space="preserve"> </w:t>
      </w:r>
      <w:r w:rsidRPr="00A170B1" w:rsidR="009C369C">
        <w:rPr>
          <w:sz w:val="24"/>
          <w:szCs w:val="24"/>
        </w:rPr>
        <w:t>provider</w:t>
      </w:r>
      <w:r w:rsidRPr="00A170B1" w:rsidR="009C369C">
        <w:rPr>
          <w:spacing w:val="-5"/>
          <w:sz w:val="24"/>
          <w:szCs w:val="24"/>
        </w:rPr>
        <w:t xml:space="preserve"> </w:t>
      </w:r>
      <w:r w:rsidRPr="00A170B1" w:rsidR="009C369C">
        <w:rPr>
          <w:sz w:val="24"/>
          <w:szCs w:val="24"/>
        </w:rPr>
        <w:t>of</w:t>
      </w:r>
      <w:r w:rsidRPr="00A170B1" w:rsidR="009C369C">
        <w:rPr>
          <w:spacing w:val="-6"/>
          <w:sz w:val="24"/>
          <w:szCs w:val="24"/>
        </w:rPr>
        <w:t xml:space="preserve"> </w:t>
      </w:r>
      <w:r w:rsidRPr="00A170B1" w:rsidR="009C369C">
        <w:rPr>
          <w:sz w:val="24"/>
          <w:szCs w:val="24"/>
        </w:rPr>
        <w:t>telecommunications</w:t>
      </w:r>
      <w:r w:rsidRPr="00A170B1" w:rsidR="009C369C">
        <w:rPr>
          <w:spacing w:val="-5"/>
          <w:sz w:val="24"/>
          <w:szCs w:val="24"/>
        </w:rPr>
        <w:t xml:space="preserve"> </w:t>
      </w:r>
      <w:r w:rsidRPr="00A170B1" w:rsidR="009C369C">
        <w:rPr>
          <w:sz w:val="24"/>
          <w:szCs w:val="24"/>
        </w:rPr>
        <w:t>services</w:t>
      </w:r>
      <w:r w:rsidRPr="00A170B1" w:rsidR="009C369C">
        <w:rPr>
          <w:spacing w:val="-3"/>
          <w:sz w:val="24"/>
          <w:szCs w:val="24"/>
        </w:rPr>
        <w:t xml:space="preserve"> </w:t>
      </w:r>
      <w:r w:rsidRPr="00A170B1" w:rsidR="009C369C">
        <w:rPr>
          <w:sz w:val="24"/>
          <w:szCs w:val="24"/>
        </w:rPr>
        <w:t>in</w:t>
      </w:r>
      <w:r w:rsidRPr="00A170B1" w:rsidR="009C369C">
        <w:rPr>
          <w:spacing w:val="-4"/>
          <w:sz w:val="24"/>
          <w:szCs w:val="24"/>
        </w:rPr>
        <w:t xml:space="preserve"> </w:t>
      </w:r>
      <w:r w:rsidRPr="00A170B1" w:rsidR="009C369C">
        <w:rPr>
          <w:sz w:val="24"/>
          <w:szCs w:val="24"/>
        </w:rPr>
        <w:t>Nebraska.</w:t>
      </w:r>
      <w:r w:rsidRPr="00A170B1" w:rsidR="009C369C">
        <w:rPr>
          <w:spacing w:val="-4"/>
          <w:sz w:val="24"/>
          <w:szCs w:val="24"/>
        </w:rPr>
        <w:t xml:space="preserve"> </w:t>
      </w:r>
      <w:r w:rsidRPr="00A170B1" w:rsidR="003D190F">
        <w:rPr>
          <w:spacing w:val="-4"/>
          <w:sz w:val="24"/>
          <w:szCs w:val="24"/>
        </w:rPr>
        <w:t xml:space="preserve">In addition to our residential services, </w:t>
      </w:r>
      <w:r w:rsidRPr="00A170B1" w:rsidR="009C369C">
        <w:rPr>
          <w:sz w:val="24"/>
          <w:szCs w:val="24"/>
        </w:rPr>
        <w:t>Cox Business has provided local business, industry, and government with commercial telephony since 199</w:t>
      </w:r>
      <w:r w:rsidRPr="00A170B1" w:rsidR="00DB6E2C">
        <w:rPr>
          <w:sz w:val="24"/>
          <w:szCs w:val="24"/>
        </w:rPr>
        <w:t>1.</w:t>
      </w:r>
      <w:r w:rsidRPr="00A170B1" w:rsidR="007859B8">
        <w:rPr>
          <w:sz w:val="24"/>
          <w:szCs w:val="24"/>
        </w:rPr>
        <w:t xml:space="preserve"> Since that time, Cox has invested more than </w:t>
      </w:r>
      <w:r w:rsidRPr="00A170B1" w:rsidR="007859B8">
        <w:rPr>
          <w:sz w:val="24"/>
          <w:szCs w:val="24"/>
        </w:rPr>
        <w:t xml:space="preserve">$1 billion</w:t>
      </w:r>
      <w:r w:rsidRPr="00A170B1" w:rsidR="007859B8">
        <w:rPr>
          <w:sz w:val="24"/>
          <w:szCs w:val="24"/>
        </w:rPr>
        <w:t xml:space="preserve"> throughout our Nebraska market </w:t>
      </w:r>
      <w:r w:rsidRPr="00A170B1" w:rsidR="007859B8">
        <w:rPr>
          <w:sz w:val="24"/>
          <w:szCs w:val="24"/>
        </w:rPr>
        <w:t xml:space="preserve">providing</w:t>
      </w:r>
      <w:r w:rsidRPr="00A170B1" w:rsidR="007859B8">
        <w:rPr>
          <w:sz w:val="24"/>
          <w:szCs w:val="24"/>
        </w:rPr>
        <w:t xml:space="preserve"> infrastructure upgrades and more than </w:t>
      </w:r>
      <w:r w:rsidRPr="00A170B1" w:rsidR="007859B8">
        <w:rPr>
          <w:sz w:val="24"/>
          <w:szCs w:val="24"/>
        </w:rPr>
        <w:t xml:space="preserve">5,000 miles</w:t>
      </w:r>
      <w:r w:rsidRPr="00A170B1" w:rsidR="007859B8">
        <w:rPr>
          <w:sz w:val="24"/>
          <w:szCs w:val="24"/>
        </w:rPr>
        <w:t xml:space="preserve"> of </w:t>
      </w:r>
      <w:r w:rsidRPr="00A170B1" w:rsidR="007859B8">
        <w:rPr>
          <w:sz w:val="24"/>
          <w:szCs w:val="24"/>
        </w:rPr>
        <w:t xml:space="preserve">state-of-the-art</w:t>
      </w:r>
      <w:r w:rsidRPr="00A170B1" w:rsidR="007859B8">
        <w:rPr>
          <w:sz w:val="24"/>
          <w:szCs w:val="24"/>
        </w:rPr>
        <w:t xml:space="preserve"> fiber-optic and HFC (Hybrid Fiber Coaxial) delivering video, phone and high-speed Internet service to homes and businesses.</w:t>
      </w:r>
      <w:r w:rsidRPr="00A170B1" w:rsidR="00DB6E2C">
        <w:rPr>
          <w:sz w:val="24"/>
          <w:szCs w:val="24"/>
        </w:rPr>
        <w:t xml:space="preserve"> </w:t>
      </w:r>
      <w:r w:rsidRPr="00A170B1" w:rsidR="007859B8">
        <w:rPr>
          <w:sz w:val="24"/>
          <w:szCs w:val="24"/>
        </w:rPr>
        <w:t xml:space="preserve">In our Omaha, NE Market, Cox </w:t>
      </w:r>
      <w:r w:rsidRPr="00A170B1" w:rsidR="007859B8">
        <w:rPr>
          <w:sz w:val="24"/>
          <w:szCs w:val="24"/>
        </w:rPr>
        <w:t>maintains</w:t>
      </w:r>
      <w:r w:rsidRPr="00A170B1" w:rsidR="007859B8">
        <w:rPr>
          <w:sz w:val="24"/>
          <w:szCs w:val="24"/>
        </w:rPr>
        <w:t xml:space="preserve"> over 2</w:t>
      </w:r>
      <w:r w:rsidR="00C75C5B">
        <w:rPr>
          <w:sz w:val="24"/>
          <w:szCs w:val="24"/>
        </w:rPr>
        <w:t>7</w:t>
      </w:r>
      <w:r w:rsidRPr="00A170B1" w:rsidR="007859B8">
        <w:rPr>
          <w:sz w:val="24"/>
          <w:szCs w:val="24"/>
        </w:rPr>
        <w:t xml:space="preserve">0,000 </w:t>
      </w:r>
      <w:r w:rsidR="00A55D21">
        <w:rPr>
          <w:sz w:val="24"/>
          <w:szCs w:val="24"/>
        </w:rPr>
        <w:t xml:space="preserve">residential </w:t>
      </w:r>
      <w:r w:rsidRPr="00A170B1" w:rsidR="007859B8">
        <w:rPr>
          <w:sz w:val="24"/>
          <w:szCs w:val="24"/>
        </w:rPr>
        <w:t xml:space="preserve">customer relationships and employs </w:t>
      </w:r>
      <w:r w:rsidR="00CB73FB">
        <w:rPr>
          <w:sz w:val="24"/>
          <w:szCs w:val="24"/>
        </w:rPr>
        <w:t xml:space="preserve">800 </w:t>
      </w:r>
      <w:r w:rsidRPr="00A170B1" w:rsidR="007859B8">
        <w:rPr>
          <w:sz w:val="24"/>
          <w:szCs w:val="24"/>
        </w:rPr>
        <w:t xml:space="preserve">residents, contributing $57M annually in taxes. </w:t>
      </w:r>
      <w:r w:rsidRPr="00A170B1" w:rsidR="00793A2E">
        <w:rPr>
          <w:sz w:val="24"/>
          <w:szCs w:val="24"/>
        </w:rPr>
        <w:t xml:space="preserve">The proposed project will bring </w:t>
      </w:r>
      <w:r w:rsidRPr="2E278753" w:rsidR="008C6D40">
        <w:rPr>
          <w:sz w:val="24"/>
          <w:szCs w:val="24"/>
        </w:rPr>
        <w:t>2</w:t>
      </w:r>
      <w:r w:rsidRPr="2E278753" w:rsidR="4ED634EE">
        <w:rPr>
          <w:sz w:val="24"/>
          <w:szCs w:val="24"/>
        </w:rPr>
        <w:t>1</w:t>
      </w:r>
      <w:r w:rsidRPr="00A170B1" w:rsidR="00793A2E">
        <w:rPr>
          <w:sz w:val="24"/>
          <w:szCs w:val="24"/>
        </w:rPr>
        <w:t xml:space="preserve"> fiber miles to </w:t>
      </w:r>
      <w:r w:rsidRPr="2E278753" w:rsidR="5E4BE0D4">
        <w:rPr>
          <w:sz w:val="24"/>
          <w:szCs w:val="24"/>
        </w:rPr>
        <w:t xml:space="preserve">11</w:t>
      </w:r>
      <w:r w:rsidRPr="2E278753" w:rsidR="5B1E0F60">
        <w:rPr>
          <w:sz w:val="24"/>
          <w:szCs w:val="24"/>
        </w:rPr>
        <w:t xml:space="preserve">2</w:t>
      </w:r>
      <w:r w:rsidR="00793A2E">
        <w:rPr>
          <w:sz w:val="24"/>
          <w:szCs w:val="24"/>
        </w:rPr>
        <w:t xml:space="preserve"> </w:t>
      </w:r>
      <w:r w:rsidRPr="00A170B1" w:rsidR="008C6D40">
        <w:rPr>
          <w:sz w:val="24"/>
          <w:szCs w:val="24"/>
        </w:rPr>
        <w:t>unserved locations</w:t>
      </w:r>
      <w:r w:rsidRPr="00A170B1" w:rsidR="00793A2E">
        <w:rPr>
          <w:sz w:val="24"/>
          <w:szCs w:val="24"/>
        </w:rPr>
        <w:t xml:space="preserve"> of </w:t>
      </w:r>
      <w:r w:rsidR="00FB0478">
        <w:rPr>
          <w:sz w:val="24"/>
          <w:szCs w:val="24"/>
        </w:rPr>
        <w:t xml:space="preserve">Douglas and Washington </w:t>
      </w:r>
      <w:r w:rsidRPr="00A170B1" w:rsidR="008C6D40">
        <w:rPr>
          <w:sz w:val="24"/>
          <w:szCs w:val="24"/>
        </w:rPr>
        <w:t>County</w:t>
      </w:r>
      <w:r w:rsidRPr="00A170B1" w:rsidR="00793A2E">
        <w:rPr>
          <w:sz w:val="24"/>
          <w:szCs w:val="24"/>
        </w:rPr>
        <w:t xml:space="preserve">. </w:t>
      </w:r>
    </w:p>
    <w:p w:rsidRPr="00A170B1" w:rsidR="009E6B53" w:rsidP="002F7600" w:rsidRDefault="009E6B53" w14:paraId="5BF7E92E" w14:textId="77777777">
      <w:pPr>
        <w:spacing w:line="360" w:lineRule="auto"/>
        <w:ind w:firstLine="720"/>
        <w:rPr>
          <w:sz w:val="8"/>
          <w:szCs w:val="8"/>
        </w:rPr>
      </w:pPr>
    </w:p>
    <w:p w:rsidRPr="00A170B1" w:rsidR="003D190F" w:rsidP="00A03467" w:rsidRDefault="009C369C" w14:paraId="40D9A318" w14:textId="3DE28E71">
      <w:pPr>
        <w:spacing w:line="360" w:lineRule="auto"/>
        <w:ind w:firstLine="720"/>
        <w:rPr>
          <w:sz w:val="24"/>
          <w:szCs w:val="24"/>
        </w:rPr>
      </w:pPr>
      <w:r w:rsidRPr="00A170B1">
        <w:rPr>
          <w:sz w:val="24"/>
          <w:szCs w:val="24"/>
        </w:rPr>
        <w:t xml:space="preserve">We currently offer broadband speeds of 100/100Mbps or faster in multiple markets across Nebraska. This project will be resilient and sustainable in the long term and service areas will be managed and maintained through </w:t>
      </w:r>
      <w:r w:rsidRPr="00A170B1" w:rsidR="0D956A61">
        <w:rPr>
          <w:sz w:val="24"/>
          <w:szCs w:val="24"/>
        </w:rPr>
        <w:t>the more</w:t>
      </w:r>
      <w:r w:rsidRPr="00A170B1" w:rsidR="008F5EBB">
        <w:rPr>
          <w:sz w:val="24"/>
          <w:szCs w:val="24"/>
        </w:rPr>
        <w:t xml:space="preserve"> than 400</w:t>
      </w:r>
      <w:r w:rsidRPr="00A170B1">
        <w:rPr>
          <w:sz w:val="24"/>
          <w:szCs w:val="24"/>
        </w:rPr>
        <w:t xml:space="preserve"> </w:t>
      </w:r>
      <w:r w:rsidRPr="00A170B1" w:rsidR="003D190F">
        <w:rPr>
          <w:sz w:val="24"/>
          <w:szCs w:val="24"/>
        </w:rPr>
        <w:t xml:space="preserve">technicians </w:t>
      </w:r>
      <w:r w:rsidRPr="00A170B1">
        <w:rPr>
          <w:sz w:val="24"/>
          <w:szCs w:val="24"/>
        </w:rPr>
        <w:t>we have in the market.</w:t>
      </w:r>
      <w:r w:rsidRPr="00A170B1" w:rsidR="00521499">
        <w:rPr>
          <w:sz w:val="24"/>
          <w:szCs w:val="24"/>
        </w:rPr>
        <w:t xml:space="preserve"> </w:t>
      </w:r>
      <w:r w:rsidRPr="00A170B1" w:rsidR="00AD3A14">
        <w:rPr>
          <w:sz w:val="24"/>
          <w:szCs w:val="24"/>
        </w:rPr>
        <w:t xml:space="preserve">Cox has an established onboarding curriculum for our front-line </w:t>
      </w:r>
      <w:r w:rsidRPr="00A170B1" w:rsidR="00DB6E2C">
        <w:rPr>
          <w:sz w:val="24"/>
          <w:szCs w:val="24"/>
        </w:rPr>
        <w:t>c</w:t>
      </w:r>
      <w:r w:rsidRPr="00A170B1" w:rsidR="00AD3A14">
        <w:rPr>
          <w:sz w:val="24"/>
          <w:szCs w:val="24"/>
        </w:rPr>
        <w:t xml:space="preserve">onstruction teams. This not only supports the scalability of our resources, but the high degree of expertise and competence we maintain for our </w:t>
      </w:r>
      <w:bookmarkStart w:name="_Int_TDclxKh2" w:id="0"/>
      <w:r w:rsidRPr="00A170B1" w:rsidR="00AD3A14">
        <w:rPr>
          <w:sz w:val="24"/>
          <w:szCs w:val="24"/>
        </w:rPr>
        <w:t>builds</w:t>
      </w:r>
      <w:bookmarkEnd w:id="0"/>
      <w:r w:rsidRPr="00A170B1" w:rsidR="00AD3A14">
        <w:rPr>
          <w:sz w:val="24"/>
          <w:szCs w:val="24"/>
        </w:rPr>
        <w:t xml:space="preserve">.  </w:t>
      </w:r>
      <w:r w:rsidRPr="00A170B1" w:rsidR="008C6D40">
        <w:rPr>
          <w:sz w:val="24"/>
          <w:szCs w:val="24"/>
        </w:rPr>
        <w:t xml:space="preserve">We also have a progression program in place that has financial and promotional rewards once time in role and key performance metrics are achieved. Our technical staff, both service and field maintenance, have the tools and training to correct any technical issues that may </w:t>
      </w:r>
      <w:r w:rsidRPr="00A170B1" w:rsidR="3250E5AA">
        <w:rPr>
          <w:sz w:val="24"/>
          <w:szCs w:val="24"/>
        </w:rPr>
        <w:t>arise</w:t>
      </w:r>
      <w:r w:rsidRPr="00A170B1" w:rsidR="008C6D40">
        <w:rPr>
          <w:sz w:val="24"/>
          <w:szCs w:val="24"/>
        </w:rPr>
        <w:t xml:space="preserve"> with our equipment. </w:t>
      </w:r>
      <w:r w:rsidRPr="00A170B1" w:rsidR="2943AA39">
        <w:rPr>
          <w:sz w:val="24"/>
          <w:szCs w:val="24"/>
        </w:rPr>
        <w:t>The equipment vendors have been provided training and documentation to ensure maximum proficiency and safety.</w:t>
      </w:r>
      <w:r w:rsidRPr="00A170B1" w:rsidR="008C6D40">
        <w:rPr>
          <w:sz w:val="24"/>
          <w:szCs w:val="24"/>
        </w:rPr>
        <w:t xml:space="preserve">  </w:t>
      </w:r>
      <w:r w:rsidRPr="00A170B1">
        <w:rPr>
          <w:sz w:val="24"/>
          <w:szCs w:val="24"/>
        </w:rPr>
        <w:t>This includes physical maintenance outside of the plant, electronics maintenance and the monitoring and adapting interconnection routes and capacities.</w:t>
      </w:r>
      <w:r w:rsidRPr="00A170B1" w:rsidR="001262A8">
        <w:rPr>
          <w:sz w:val="24"/>
          <w:szCs w:val="24"/>
        </w:rPr>
        <w:t xml:space="preserve"> All Distribution Major/Minor Field Equipment has an average useful life of 20 years. </w:t>
      </w:r>
      <w:r w:rsidRPr="00A170B1" w:rsidR="008C6D40">
        <w:rPr>
          <w:sz w:val="24"/>
          <w:szCs w:val="24"/>
        </w:rPr>
        <w:t xml:space="preserve"> With the architecture being new and ever evolving, we don’t have a lot of history on which items may need more maintenance or replacement. However, we do keep backup stock of all parts in case of failure or damage. </w:t>
      </w:r>
    </w:p>
    <w:p w:rsidRPr="00A170B1" w:rsidR="00380804" w:rsidP="002F7600" w:rsidRDefault="00380804" w14:paraId="794C0FC7" w14:textId="6E19C509">
      <w:pPr>
        <w:pStyle w:val="BodyText"/>
        <w:spacing w:before="157" w:line="360" w:lineRule="auto"/>
        <w:ind w:left="100" w:right="113" w:firstLine="720"/>
        <w:rPr>
          <w:sz w:val="24"/>
          <w:szCs w:val="24"/>
        </w:rPr>
      </w:pPr>
      <w:r w:rsidRPr="00A170B1">
        <w:rPr>
          <w:sz w:val="24"/>
          <w:szCs w:val="24"/>
        </w:rPr>
        <w:t>Cox is a recipient of multiple federal and state awards in support of broadband expansion to un- and underserved areas in Virginia, Arizona, Louisiana, Georgia, Arkansas, Florida, Oklahoma</w:t>
      </w:r>
      <w:r w:rsidRPr="00A170B1" w:rsidR="00515DC8">
        <w:rPr>
          <w:sz w:val="24"/>
          <w:szCs w:val="24"/>
        </w:rPr>
        <w:t>,</w:t>
      </w:r>
      <w:r w:rsidRPr="00A170B1">
        <w:rPr>
          <w:sz w:val="24"/>
          <w:szCs w:val="24"/>
        </w:rPr>
        <w:t xml:space="preserve"> Kansas</w:t>
      </w:r>
      <w:r w:rsidRPr="00A170B1" w:rsidR="00515DC8">
        <w:rPr>
          <w:sz w:val="24"/>
          <w:szCs w:val="24"/>
        </w:rPr>
        <w:t>, in addition to Nebraska</w:t>
      </w:r>
      <w:r w:rsidRPr="00A170B1">
        <w:rPr>
          <w:sz w:val="24"/>
          <w:szCs w:val="24"/>
        </w:rPr>
        <w:t xml:space="preserve"> including the Rural Digital Opportunity Fund (RDOF), American Rescue Plan Act (ARPA), State and Local Fiscal Recovery Funds (SLFRF), </w:t>
      </w:r>
      <w:r w:rsidRPr="00A170B1">
        <w:rPr>
          <w:sz w:val="24"/>
          <w:szCs w:val="24"/>
        </w:rPr>
        <w:lastRenderedPageBreak/>
        <w:t xml:space="preserve">Virginia Telecommunications Initiative (VATI), Nebraska Broadband Bridge Program (NBBP) and the Capital Projects Fund (CPF). </w:t>
      </w:r>
    </w:p>
    <w:p w:rsidRPr="00A170B1" w:rsidR="425ABBB2" w:rsidP="002F7600" w:rsidRDefault="00380804" w14:paraId="7B491296" w14:textId="3E7590ED">
      <w:pPr>
        <w:pStyle w:val="BodyText"/>
        <w:spacing w:before="157" w:line="360" w:lineRule="auto"/>
        <w:ind w:left="100" w:right="113" w:firstLine="720"/>
        <w:rPr>
          <w:sz w:val="24"/>
          <w:szCs w:val="24"/>
        </w:rPr>
      </w:pPr>
      <w:r w:rsidRPr="00A170B1">
        <w:rPr>
          <w:sz w:val="24"/>
          <w:szCs w:val="24"/>
        </w:rPr>
        <w:t>Since 2021, Cox successfully secured more than $</w:t>
      </w:r>
      <w:r w:rsidRPr="00A170B1" w:rsidR="00A03467">
        <w:rPr>
          <w:sz w:val="24"/>
          <w:szCs w:val="24"/>
        </w:rPr>
        <w:t>90</w:t>
      </w:r>
      <w:r w:rsidRPr="00A170B1">
        <w:rPr>
          <w:sz w:val="24"/>
          <w:szCs w:val="24"/>
        </w:rPr>
        <w:t xml:space="preserve">M to subsidize expansion projects totaling nearly $200M that, upon completion, will result in connecting more than 32,000 previously un- and underserved homes and businesses to gigabit broadband speeds. We also have several applications currently </w:t>
      </w:r>
      <w:r w:rsidRPr="00A170B1" w:rsidR="00515DC8">
        <w:rPr>
          <w:sz w:val="24"/>
          <w:szCs w:val="24"/>
        </w:rPr>
        <w:t xml:space="preserve">pending </w:t>
      </w:r>
      <w:r w:rsidRPr="00A170B1">
        <w:rPr>
          <w:sz w:val="24"/>
          <w:szCs w:val="24"/>
        </w:rPr>
        <w:t xml:space="preserve">in different stages of the review and award process. </w:t>
      </w:r>
    </w:p>
    <w:p w:rsidRPr="00A170B1" w:rsidR="00510F36" w:rsidRDefault="009C369C" w14:paraId="340E655C" w14:textId="77777777">
      <w:pPr>
        <w:pStyle w:val="BodyText"/>
        <w:spacing w:before="157" w:line="360" w:lineRule="auto"/>
        <w:ind w:left="100" w:right="113" w:firstLine="720"/>
        <w:rPr>
          <w:sz w:val="24"/>
          <w:szCs w:val="24"/>
        </w:rPr>
      </w:pPr>
      <w:r w:rsidRPr="00A170B1">
        <w:rPr>
          <w:sz w:val="24"/>
          <w:szCs w:val="24"/>
        </w:rPr>
        <w:t>The</w:t>
      </w:r>
      <w:r w:rsidRPr="00A170B1">
        <w:rPr>
          <w:spacing w:val="-1"/>
          <w:sz w:val="24"/>
          <w:szCs w:val="24"/>
        </w:rPr>
        <w:t xml:space="preserve"> </w:t>
      </w:r>
      <w:r w:rsidRPr="00A170B1">
        <w:rPr>
          <w:sz w:val="24"/>
          <w:szCs w:val="24"/>
        </w:rPr>
        <w:t>Cox</w:t>
      </w:r>
      <w:r w:rsidRPr="00A170B1">
        <w:rPr>
          <w:spacing w:val="-1"/>
          <w:sz w:val="24"/>
          <w:szCs w:val="24"/>
        </w:rPr>
        <w:t xml:space="preserve"> </w:t>
      </w:r>
      <w:r w:rsidRPr="00A170B1">
        <w:rPr>
          <w:sz w:val="24"/>
          <w:szCs w:val="24"/>
        </w:rPr>
        <w:t>Network Operations</w:t>
      </w:r>
      <w:r w:rsidRPr="00A170B1">
        <w:rPr>
          <w:spacing w:val="-2"/>
          <w:sz w:val="24"/>
          <w:szCs w:val="24"/>
        </w:rPr>
        <w:t xml:space="preserve"> </w:t>
      </w:r>
      <w:r w:rsidRPr="00A170B1">
        <w:rPr>
          <w:sz w:val="24"/>
          <w:szCs w:val="24"/>
        </w:rPr>
        <w:t>Center</w:t>
      </w:r>
      <w:r w:rsidRPr="00A170B1">
        <w:rPr>
          <w:spacing w:val="-2"/>
          <w:sz w:val="24"/>
          <w:szCs w:val="24"/>
        </w:rPr>
        <w:t xml:space="preserve"> </w:t>
      </w:r>
      <w:r w:rsidRPr="00A170B1">
        <w:rPr>
          <w:sz w:val="24"/>
          <w:szCs w:val="24"/>
        </w:rPr>
        <w:t>is</w:t>
      </w:r>
      <w:r w:rsidRPr="00A170B1">
        <w:rPr>
          <w:spacing w:val="-2"/>
          <w:sz w:val="24"/>
          <w:szCs w:val="24"/>
        </w:rPr>
        <w:t xml:space="preserve"> </w:t>
      </w:r>
      <w:r w:rsidRPr="00A170B1">
        <w:rPr>
          <w:sz w:val="24"/>
          <w:szCs w:val="24"/>
        </w:rPr>
        <w:t>comprised of</w:t>
      </w:r>
      <w:r w:rsidRPr="00A170B1">
        <w:rPr>
          <w:spacing w:val="-3"/>
          <w:sz w:val="24"/>
          <w:szCs w:val="24"/>
        </w:rPr>
        <w:t xml:space="preserve"> </w:t>
      </w:r>
      <w:r w:rsidRPr="00A170B1">
        <w:rPr>
          <w:sz w:val="24"/>
          <w:szCs w:val="24"/>
        </w:rPr>
        <w:t>two geographically diverse locations, one</w:t>
      </w:r>
      <w:r w:rsidRPr="00A170B1">
        <w:rPr>
          <w:spacing w:val="-1"/>
          <w:sz w:val="24"/>
          <w:szCs w:val="24"/>
        </w:rPr>
        <w:t xml:space="preserve"> </w:t>
      </w:r>
      <w:r w:rsidRPr="00A170B1">
        <w:rPr>
          <w:sz w:val="24"/>
          <w:szCs w:val="24"/>
        </w:rPr>
        <w:t>in Atlanta, GA and the other in Phoenix, AZ. These facilities act as a fully georedundant NOC (Network Operations Center). The NOC is staffed 24 hours a day, 365 days a year, with employees working a variety of shifts and schedules.</w:t>
      </w:r>
      <w:r w:rsidRPr="00A170B1">
        <w:rPr>
          <w:spacing w:val="40"/>
          <w:sz w:val="24"/>
          <w:szCs w:val="24"/>
        </w:rPr>
        <w:t xml:space="preserve"> </w:t>
      </w:r>
      <w:r w:rsidRPr="00A170B1">
        <w:rPr>
          <w:sz w:val="24"/>
          <w:szCs w:val="24"/>
        </w:rPr>
        <w:t>The high quality, redundant design and monitoring of our network means your communications services are available when you need them.</w:t>
      </w:r>
      <w:r w:rsidRPr="00A170B1">
        <w:rPr>
          <w:spacing w:val="40"/>
          <w:sz w:val="24"/>
          <w:szCs w:val="24"/>
        </w:rPr>
        <w:t xml:space="preserve"> </w:t>
      </w:r>
      <w:r w:rsidRPr="00A170B1">
        <w:rPr>
          <w:sz w:val="24"/>
          <w:szCs w:val="24"/>
        </w:rPr>
        <w:t>If there is trouble with our services, our repair mean time is well below 4 hours. We also provide support through a technical staff</w:t>
      </w:r>
      <w:r w:rsidRPr="00A170B1">
        <w:rPr>
          <w:spacing w:val="40"/>
          <w:sz w:val="24"/>
          <w:szCs w:val="24"/>
        </w:rPr>
        <w:t xml:space="preserve"> </w:t>
      </w:r>
      <w:r w:rsidRPr="00A170B1">
        <w:rPr>
          <w:sz w:val="24"/>
          <w:szCs w:val="24"/>
        </w:rPr>
        <w:t>in</w:t>
      </w:r>
      <w:r w:rsidRPr="00A170B1">
        <w:rPr>
          <w:spacing w:val="-4"/>
          <w:sz w:val="24"/>
          <w:szCs w:val="24"/>
        </w:rPr>
        <w:t xml:space="preserve"> </w:t>
      </w:r>
      <w:r w:rsidRPr="00A170B1">
        <w:rPr>
          <w:sz w:val="24"/>
          <w:szCs w:val="24"/>
        </w:rPr>
        <w:t>Omaha</w:t>
      </w:r>
      <w:r w:rsidRPr="00A170B1">
        <w:rPr>
          <w:spacing w:val="-4"/>
          <w:sz w:val="24"/>
          <w:szCs w:val="24"/>
        </w:rPr>
        <w:t xml:space="preserve"> </w:t>
      </w:r>
      <w:r w:rsidRPr="00A170B1">
        <w:rPr>
          <w:sz w:val="24"/>
          <w:szCs w:val="24"/>
        </w:rPr>
        <w:t>for</w:t>
      </w:r>
      <w:r w:rsidRPr="00A170B1">
        <w:rPr>
          <w:spacing w:val="-5"/>
          <w:sz w:val="24"/>
          <w:szCs w:val="24"/>
        </w:rPr>
        <w:t xml:space="preserve"> </w:t>
      </w:r>
      <w:r w:rsidRPr="00A170B1">
        <w:rPr>
          <w:sz w:val="24"/>
          <w:szCs w:val="24"/>
        </w:rPr>
        <w:t>all</w:t>
      </w:r>
      <w:r w:rsidRPr="00A170B1">
        <w:rPr>
          <w:spacing w:val="-3"/>
          <w:sz w:val="24"/>
          <w:szCs w:val="24"/>
        </w:rPr>
        <w:t xml:space="preserve"> </w:t>
      </w:r>
      <w:r w:rsidRPr="00A170B1">
        <w:rPr>
          <w:sz w:val="24"/>
          <w:szCs w:val="24"/>
        </w:rPr>
        <w:t>provisioning</w:t>
      </w:r>
      <w:r w:rsidRPr="00A170B1">
        <w:rPr>
          <w:spacing w:val="-3"/>
          <w:sz w:val="24"/>
          <w:szCs w:val="24"/>
        </w:rPr>
        <w:t xml:space="preserve"> </w:t>
      </w:r>
      <w:r w:rsidRPr="00A170B1">
        <w:rPr>
          <w:sz w:val="24"/>
          <w:szCs w:val="24"/>
        </w:rPr>
        <w:t>and</w:t>
      </w:r>
      <w:r w:rsidRPr="00A170B1">
        <w:rPr>
          <w:spacing w:val="-5"/>
          <w:sz w:val="24"/>
          <w:szCs w:val="24"/>
        </w:rPr>
        <w:t xml:space="preserve"> </w:t>
      </w:r>
      <w:r w:rsidRPr="00A170B1">
        <w:rPr>
          <w:sz w:val="24"/>
          <w:szCs w:val="24"/>
        </w:rPr>
        <w:t>maintenance</w:t>
      </w:r>
      <w:r w:rsidRPr="00A170B1">
        <w:rPr>
          <w:spacing w:val="-3"/>
          <w:sz w:val="24"/>
          <w:szCs w:val="24"/>
        </w:rPr>
        <w:t xml:space="preserve"> </w:t>
      </w:r>
      <w:r w:rsidRPr="00A170B1">
        <w:rPr>
          <w:sz w:val="24"/>
          <w:szCs w:val="24"/>
        </w:rPr>
        <w:t>of</w:t>
      </w:r>
      <w:r w:rsidRPr="00A170B1">
        <w:rPr>
          <w:spacing w:val="-6"/>
          <w:sz w:val="24"/>
          <w:szCs w:val="24"/>
        </w:rPr>
        <w:t xml:space="preserve"> </w:t>
      </w:r>
      <w:r w:rsidRPr="00A170B1">
        <w:rPr>
          <w:sz w:val="24"/>
          <w:szCs w:val="24"/>
        </w:rPr>
        <w:t>fiber optic</w:t>
      </w:r>
      <w:r w:rsidRPr="00A170B1">
        <w:rPr>
          <w:spacing w:val="-2"/>
          <w:sz w:val="24"/>
          <w:szCs w:val="24"/>
        </w:rPr>
        <w:t xml:space="preserve"> </w:t>
      </w:r>
      <w:r w:rsidRPr="00A170B1">
        <w:rPr>
          <w:sz w:val="24"/>
          <w:szCs w:val="24"/>
        </w:rPr>
        <w:t>electronics,</w:t>
      </w:r>
      <w:r w:rsidRPr="00A170B1">
        <w:rPr>
          <w:spacing w:val="-3"/>
          <w:sz w:val="24"/>
          <w:szCs w:val="24"/>
        </w:rPr>
        <w:t xml:space="preserve"> </w:t>
      </w:r>
      <w:r w:rsidRPr="00A170B1">
        <w:rPr>
          <w:sz w:val="24"/>
          <w:szCs w:val="24"/>
        </w:rPr>
        <w:t>interconnection</w:t>
      </w:r>
      <w:r w:rsidRPr="00A170B1">
        <w:rPr>
          <w:spacing w:val="-4"/>
          <w:sz w:val="24"/>
          <w:szCs w:val="24"/>
        </w:rPr>
        <w:t xml:space="preserve"> </w:t>
      </w:r>
      <w:r w:rsidRPr="00A170B1">
        <w:rPr>
          <w:sz w:val="24"/>
          <w:szCs w:val="24"/>
        </w:rPr>
        <w:t>equipment</w:t>
      </w:r>
      <w:r w:rsidRPr="00A170B1">
        <w:rPr>
          <w:spacing w:val="-2"/>
          <w:sz w:val="24"/>
          <w:szCs w:val="24"/>
        </w:rPr>
        <w:t xml:space="preserve"> </w:t>
      </w:r>
      <w:r w:rsidRPr="00A170B1">
        <w:rPr>
          <w:sz w:val="24"/>
          <w:szCs w:val="24"/>
        </w:rPr>
        <w:t xml:space="preserve">and </w:t>
      </w:r>
      <w:r w:rsidRPr="00A170B1">
        <w:rPr>
          <w:spacing w:val="-2"/>
          <w:sz w:val="24"/>
          <w:szCs w:val="24"/>
        </w:rPr>
        <w:t>devices.</w:t>
      </w:r>
    </w:p>
    <w:sectPr w:rsidRPr="00A170B1" w:rsidR="00510F36">
      <w:type w:val="continuous"/>
      <w:pgSz w:w="12240" w:h="15840" w:orient="portrait"/>
      <w:pgMar w:top="4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TDclxKh2" int2:invalidationBookmarkName="" int2:hashCode="O2+qXIhL0xMtBd" int2:id="EfMdnmBT">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10F36"/>
    <w:rsid w:val="0000112E"/>
    <w:rsid w:val="0000223F"/>
    <w:rsid w:val="00080C7C"/>
    <w:rsid w:val="00102462"/>
    <w:rsid w:val="001262A8"/>
    <w:rsid w:val="00185708"/>
    <w:rsid w:val="00213EDA"/>
    <w:rsid w:val="0026551B"/>
    <w:rsid w:val="002D283C"/>
    <w:rsid w:val="002D4A9F"/>
    <w:rsid w:val="002F7600"/>
    <w:rsid w:val="00380804"/>
    <w:rsid w:val="0039295E"/>
    <w:rsid w:val="00397AC2"/>
    <w:rsid w:val="003D190F"/>
    <w:rsid w:val="003F3127"/>
    <w:rsid w:val="00510F36"/>
    <w:rsid w:val="00515DC8"/>
    <w:rsid w:val="00521499"/>
    <w:rsid w:val="005E4E90"/>
    <w:rsid w:val="00625BF7"/>
    <w:rsid w:val="006615D6"/>
    <w:rsid w:val="0068156E"/>
    <w:rsid w:val="006A3503"/>
    <w:rsid w:val="006E6BE2"/>
    <w:rsid w:val="007634FB"/>
    <w:rsid w:val="007859B8"/>
    <w:rsid w:val="00793A2E"/>
    <w:rsid w:val="007F4D4D"/>
    <w:rsid w:val="008C6D40"/>
    <w:rsid w:val="008D270E"/>
    <w:rsid w:val="008F5EBB"/>
    <w:rsid w:val="009105E0"/>
    <w:rsid w:val="009926EF"/>
    <w:rsid w:val="009C369C"/>
    <w:rsid w:val="009E6B53"/>
    <w:rsid w:val="00A03467"/>
    <w:rsid w:val="00A170B1"/>
    <w:rsid w:val="00A343FA"/>
    <w:rsid w:val="00A55D21"/>
    <w:rsid w:val="00A57A43"/>
    <w:rsid w:val="00AD3A14"/>
    <w:rsid w:val="00B01C8F"/>
    <w:rsid w:val="00BF79E0"/>
    <w:rsid w:val="00C75C5B"/>
    <w:rsid w:val="00CB73FB"/>
    <w:rsid w:val="00D400D2"/>
    <w:rsid w:val="00D550EF"/>
    <w:rsid w:val="00DB27B2"/>
    <w:rsid w:val="00DB6E2C"/>
    <w:rsid w:val="00DC587A"/>
    <w:rsid w:val="00DE6748"/>
    <w:rsid w:val="00E241C3"/>
    <w:rsid w:val="00E504FE"/>
    <w:rsid w:val="00FB0478"/>
    <w:rsid w:val="0D956A61"/>
    <w:rsid w:val="2943AA39"/>
    <w:rsid w:val="2E278753"/>
    <w:rsid w:val="3250E5AA"/>
    <w:rsid w:val="425ABBB2"/>
    <w:rsid w:val="4ED634EE"/>
    <w:rsid w:val="573DD661"/>
    <w:rsid w:val="5B1E0F60"/>
    <w:rsid w:val="5E4BE0D4"/>
    <w:rsid w:val="663634D2"/>
    <w:rsid w:val="6A67B505"/>
    <w:rsid w:val="6C038258"/>
    <w:rsid w:val="6FC3EEBB"/>
    <w:rsid w:val="79D1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6553"/>
  <w15:docId w15:val="{F931DFAE-2D0E-446D-8746-08B9AB57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7"/>
      <w:ind w:left="2761" w:right="2756"/>
      <w:jc w:val="center"/>
    </w:pPr>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ui-provider" w:customStyle="1">
    <w:name w:val="ui-provider"/>
    <w:basedOn w:val="DefaultParagraphFont"/>
    <w:rsid w:val="008C6D40"/>
  </w:style>
  <w:style w:type="paragraph" w:styleId="Revision">
    <w:name w:val="Revision"/>
    <w:hidden/>
    <w:uiPriority w:val="99"/>
    <w:semiHidden/>
    <w:rsid w:val="00DB6E2C"/>
    <w:pPr>
      <w:widowControl/>
      <w:autoSpaceDE/>
      <w:autoSpaceDN/>
    </w:pPr>
    <w:rPr>
      <w:rFonts w:ascii="Calibri" w:hAnsi="Calibri" w:eastAsia="Calibri" w:cs="Calibri"/>
    </w:rPr>
  </w:style>
  <w:style w:type="character" w:styleId="CommentReference">
    <w:name w:val="annotation reference"/>
    <w:basedOn w:val="DefaultParagraphFont"/>
    <w:uiPriority w:val="99"/>
    <w:semiHidden/>
    <w:unhideWhenUsed/>
    <w:rsid w:val="005E4E90"/>
    <w:rPr>
      <w:sz w:val="16"/>
      <w:szCs w:val="16"/>
    </w:rPr>
  </w:style>
  <w:style w:type="paragraph" w:styleId="CommentText">
    <w:name w:val="annotation text"/>
    <w:basedOn w:val="Normal"/>
    <w:link w:val="CommentTextChar"/>
    <w:uiPriority w:val="99"/>
    <w:semiHidden/>
    <w:unhideWhenUsed/>
    <w:rsid w:val="005E4E90"/>
    <w:rPr>
      <w:sz w:val="20"/>
      <w:szCs w:val="20"/>
    </w:rPr>
  </w:style>
  <w:style w:type="character" w:styleId="CommentTextChar" w:customStyle="1">
    <w:name w:val="Comment Text Char"/>
    <w:basedOn w:val="DefaultParagraphFont"/>
    <w:link w:val="CommentText"/>
    <w:uiPriority w:val="99"/>
    <w:semiHidden/>
    <w:rsid w:val="005E4E90"/>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5E4E90"/>
    <w:rPr>
      <w:b/>
      <w:bCs/>
    </w:rPr>
  </w:style>
  <w:style w:type="character" w:styleId="CommentSubjectChar" w:customStyle="1">
    <w:name w:val="Comment Subject Char"/>
    <w:basedOn w:val="CommentTextChar"/>
    <w:link w:val="CommentSubject"/>
    <w:uiPriority w:val="99"/>
    <w:semiHidden/>
    <w:rsid w:val="005E4E90"/>
    <w:rPr>
      <w:rFonts w:ascii="Calibri" w:hAnsi="Calibri"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D5F5D80A453643B90DED5B338F33CF" ma:contentTypeVersion="16" ma:contentTypeDescription="Create a new document." ma:contentTypeScope="" ma:versionID="390215031d1bf910804273b41580e4b8">
  <xsd:schema xmlns:xsd="http://www.w3.org/2001/XMLSchema" xmlns:xs="http://www.w3.org/2001/XMLSchema" xmlns:p="http://schemas.microsoft.com/office/2006/metadata/properties" xmlns:ns2="718c5d3b-6d75-423b-8cc5-290ab770a18c" xmlns:ns3="c84e1cac-1d84-4d21-8a46-d8b75870a7bf" xmlns:ns4="e03fe4b5-7e31-4e95-9f1e-090a03a70d21" targetNamespace="http://schemas.microsoft.com/office/2006/metadata/properties" ma:root="true" ma:fieldsID="e4421115ddcd945176dc33f4ec3096a7" ns2:_="" ns3:_="" ns4:_="">
    <xsd:import namespace="718c5d3b-6d75-423b-8cc5-290ab770a18c"/>
    <xsd:import namespace="c84e1cac-1d84-4d21-8a46-d8b75870a7bf"/>
    <xsd:import namespace="e03fe4b5-7e31-4e95-9f1e-090a03a70d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c5d3b-6d75-423b-8cc5-290ab770a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cf6955-a0f0-475d-a357-e1e2f4acff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e1cac-1d84-4d21-8a46-d8b75870a7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fe4b5-7e31-4e95-9f1e-090a03a70d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ca0640e-3a45-4440-93cd-1291a7352f00}" ma:internalName="TaxCatchAll" ma:showField="CatchAllData" ma:web="c84e1cac-1d84-4d21-8a46-d8b75870a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8c5d3b-6d75-423b-8cc5-290ab770a18c">
      <Terms xmlns="http://schemas.microsoft.com/office/infopath/2007/PartnerControls"/>
    </lcf76f155ced4ddcb4097134ff3c332f>
    <TaxCatchAll xmlns="e03fe4b5-7e31-4e95-9f1e-090a03a70d21" xsi:nil="true"/>
    <SharedWithUsers xmlns="c84e1cac-1d84-4d21-8a46-d8b75870a7bf">
      <UserInfo>
        <DisplayName/>
        <AccountId xsi:nil="true"/>
        <AccountType/>
      </UserInfo>
    </SharedWithUsers>
  </documentManagement>
</p:properties>
</file>

<file path=customXml/itemProps1.xml><?xml version="1.0" encoding="utf-8"?>
<ds:datastoreItem xmlns:ds="http://schemas.openxmlformats.org/officeDocument/2006/customXml" ds:itemID="{BCEE8B81-7494-4BD7-B61E-9B3EDB83FA7F}">
  <ds:schemaRefs>
    <ds:schemaRef ds:uri="http://schemas.microsoft.com/sharepoint/v3/contenttype/forms"/>
  </ds:schemaRefs>
</ds:datastoreItem>
</file>

<file path=customXml/itemProps2.xml><?xml version="1.0" encoding="utf-8"?>
<ds:datastoreItem xmlns:ds="http://schemas.openxmlformats.org/officeDocument/2006/customXml" ds:itemID="{C3FC294A-1114-4747-849F-994D1090B77A}">
  <ds:schemaRefs>
    <ds:schemaRef ds:uri="http://schemas.openxmlformats.org/officeDocument/2006/bibliography"/>
  </ds:schemaRefs>
</ds:datastoreItem>
</file>

<file path=customXml/itemProps3.xml><?xml version="1.0" encoding="utf-8"?>
<ds:datastoreItem xmlns:ds="http://schemas.openxmlformats.org/officeDocument/2006/customXml" ds:itemID="{7944A5FC-6804-4EA4-8B18-803208B83E86}"/>
</file>

<file path=customXml/itemProps4.xml><?xml version="1.0" encoding="utf-8"?>
<ds:datastoreItem xmlns:ds="http://schemas.openxmlformats.org/officeDocument/2006/customXml" ds:itemID="{97FB16FC-D3FD-4B1B-9167-4371BA1EAAB3}">
  <ds:schemaRefs>
    <ds:schemaRef ds:uri="http://schemas.microsoft.com/office/2006/metadata/properties"/>
    <ds:schemaRef ds:uri="http://schemas.microsoft.com/office/infopath/2007/PartnerControls"/>
    <ds:schemaRef ds:uri="718c5d3b-6d75-423b-8cc5-290ab770a18c"/>
    <ds:schemaRef ds:uri="e03fe4b5-7e31-4e95-9f1e-090a03a70d21"/>
    <ds:schemaRef ds:uri="c84e1cac-1d84-4d21-8a46-d8b75870a7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Cox Communications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Craig (CCI-Atlanta)</dc:creator>
  <cp:lastModifiedBy>Curttright, Ashley (CCI-Central Region)</cp:lastModifiedBy>
  <cp:revision>13</cp:revision>
  <dcterms:created xsi:type="dcterms:W3CDTF">2023-07-03T17:55:00Z</dcterms:created>
  <dcterms:modified xsi:type="dcterms:W3CDTF">2023-09-14T20:13:44Z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vt:lpwstr>
  </property>
  <property fmtid="{D5CDD505-2E9C-101B-9397-08002B2CF9AE}" pid="4" name="LastSaved">
    <vt:filetime>2023-01-24T00:00:00Z</vt:filetime>
  </property>
  <property fmtid="{D5CDD505-2E9C-101B-9397-08002B2CF9AE}" pid="5" name="ContentTypeId">
    <vt:lpwstr>0x01010037D5F5D80A453643B90DED5B338F33CF</vt:lpwstr>
  </property>
  <property fmtid="{D5CDD505-2E9C-101B-9397-08002B2CF9AE}" pid="6" name="MediaServiceImageTags">
    <vt:lpwstr/>
  </property>
  <property fmtid="{D5CDD505-2E9C-101B-9397-08002B2CF9AE}" pid="7" name="Order">
    <vt:r8>16453200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ColorHex">
    <vt:lpwstr/>
  </property>
  <property fmtid="{D5CDD505-2E9C-101B-9397-08002B2CF9AE}" pid="15" name="_Emoji">
    <vt:lpwstr/>
  </property>
  <property fmtid="{D5CDD505-2E9C-101B-9397-08002B2CF9AE}" pid="16" name="_ColorTag">
    <vt:lpwstr/>
  </property>
</Properties>
</file>