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8018" w14:textId="3379F246" w:rsidR="007B4410" w:rsidRPr="007B4410" w:rsidRDefault="007B4410" w:rsidP="007B4410">
      <w:pPr>
        <w:spacing w:after="0" w:line="276" w:lineRule="auto"/>
        <w:jc w:val="center"/>
        <w:rPr>
          <w:rFonts w:cstheme="minorHAnsi"/>
          <w:b/>
          <w:bCs/>
          <w:color w:val="00AAF4"/>
          <w:sz w:val="24"/>
          <w:szCs w:val="24"/>
        </w:rPr>
      </w:pPr>
      <w:r w:rsidRPr="007B4410">
        <w:rPr>
          <w:rFonts w:cstheme="minorHAnsi"/>
          <w:b/>
          <w:bCs/>
          <w:color w:val="00AAF4"/>
          <w:sz w:val="24"/>
          <w:szCs w:val="24"/>
        </w:rPr>
        <w:t>Attachment G</w:t>
      </w:r>
    </w:p>
    <w:p w14:paraId="2088A5B8" w14:textId="002D8FCA" w:rsidR="7BCA46E9" w:rsidRPr="007B4410" w:rsidRDefault="006F6269" w:rsidP="061015BC">
      <w:pPr>
        <w:spacing w:after="0" w:line="276" w:lineRule="auto"/>
        <w:jc w:val="center"/>
        <w:rPr>
          <w:b/>
          <w:bCs/>
          <w:color w:val="00AAF4"/>
          <w:sz w:val="24"/>
          <w:szCs w:val="24"/>
        </w:rPr>
      </w:pPr>
      <w:r w:rsidRPr="006F6269">
        <w:rPr>
          <w:b/>
          <w:bCs/>
          <w:color w:val="00AAF4"/>
          <w:sz w:val="24"/>
          <w:szCs w:val="24"/>
        </w:rPr>
        <w:t>Cass-Sarpy</w:t>
      </w:r>
      <w:r>
        <w:rPr>
          <w:rFonts w:ascii="Calibri" w:eastAsia="Calibri" w:hAnsi="Calibri" w:cs="Calibri"/>
          <w:b/>
          <w:bCs/>
          <w:color w:val="FF0000"/>
          <w:sz w:val="24"/>
          <w:szCs w:val="24"/>
        </w:rPr>
        <w:t xml:space="preserve"> </w:t>
      </w:r>
      <w:r w:rsidR="7BCA46E9" w:rsidRPr="061015BC">
        <w:rPr>
          <w:b/>
          <w:bCs/>
          <w:color w:val="00AAF4"/>
          <w:sz w:val="24"/>
          <w:szCs w:val="24"/>
        </w:rPr>
        <w:t>Business Plan</w:t>
      </w:r>
    </w:p>
    <w:p w14:paraId="4BDFB144" w14:textId="6797803F" w:rsidR="7BCA46E9" w:rsidRPr="007B4410" w:rsidRDefault="00004B21" w:rsidP="007B4410">
      <w:pPr>
        <w:spacing w:after="0" w:line="276" w:lineRule="auto"/>
        <w:jc w:val="center"/>
        <w:rPr>
          <w:rFonts w:cstheme="minorHAnsi"/>
          <w:b/>
          <w:bCs/>
          <w:color w:val="00AAF4"/>
          <w:sz w:val="24"/>
          <w:szCs w:val="24"/>
        </w:rPr>
      </w:pPr>
      <w:r>
        <w:rPr>
          <w:rFonts w:cstheme="minorHAnsi"/>
          <w:b/>
          <w:bCs/>
          <w:color w:val="00AAF4"/>
          <w:sz w:val="24"/>
          <w:szCs w:val="24"/>
        </w:rPr>
        <w:t>Cox Nebraska Telcom</w:t>
      </w:r>
    </w:p>
    <w:p w14:paraId="5986817E" w14:textId="382FCCAA" w:rsidR="7BCA46E9" w:rsidRDefault="7BCA46E9" w:rsidP="7BCA46E9">
      <w:pPr>
        <w:spacing w:line="257" w:lineRule="auto"/>
      </w:pPr>
    </w:p>
    <w:p w14:paraId="06594920" w14:textId="6A897E8A"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color w:val="404040" w:themeColor="text1" w:themeTint="BF"/>
          <w:sz w:val="24"/>
          <w:szCs w:val="24"/>
        </w:rPr>
        <w:t xml:space="preserve">In evaluating the viability of </w:t>
      </w:r>
      <w:r w:rsidRPr="00AA0B5B">
        <w:rPr>
          <w:rFonts w:ascii="Calibri" w:eastAsia="Calibri" w:hAnsi="Calibri" w:cs="Calibri"/>
          <w:sz w:val="24"/>
          <w:szCs w:val="24"/>
        </w:rPr>
        <w:t xml:space="preserve">the </w:t>
      </w:r>
      <w:r w:rsidR="006F6269" w:rsidRPr="00AA0B5B">
        <w:rPr>
          <w:rFonts w:ascii="Calibri" w:eastAsia="Calibri" w:hAnsi="Calibri" w:cs="Calibri"/>
          <w:sz w:val="24"/>
          <w:szCs w:val="24"/>
        </w:rPr>
        <w:t>Cass - Sarpy</w:t>
      </w:r>
      <w:r w:rsidR="431C6301" w:rsidRPr="00AA0B5B">
        <w:rPr>
          <w:rFonts w:ascii="Calibri" w:eastAsia="Calibri" w:hAnsi="Calibri" w:cs="Calibri"/>
          <w:sz w:val="24"/>
          <w:szCs w:val="24"/>
        </w:rPr>
        <w:t xml:space="preserve"> </w:t>
      </w:r>
      <w:r w:rsidRPr="00AA0B5B">
        <w:rPr>
          <w:rFonts w:ascii="Calibri" w:eastAsia="Calibri" w:hAnsi="Calibri" w:cs="Calibri"/>
          <w:sz w:val="24"/>
          <w:szCs w:val="24"/>
        </w:rPr>
        <w:t xml:space="preserve">grant application submitted by Cox </w:t>
      </w:r>
      <w:r w:rsidR="00004B21" w:rsidRPr="00AA0B5B">
        <w:rPr>
          <w:rFonts w:ascii="Calibri" w:eastAsia="Calibri" w:hAnsi="Calibri" w:cs="Calibri"/>
          <w:sz w:val="24"/>
          <w:szCs w:val="24"/>
        </w:rPr>
        <w:t>Nebraska Telcom</w:t>
      </w:r>
      <w:r w:rsidRPr="00AA0B5B">
        <w:rPr>
          <w:rFonts w:ascii="Calibri" w:eastAsia="Calibri" w:hAnsi="Calibri" w:cs="Calibri"/>
          <w:sz w:val="24"/>
          <w:szCs w:val="24"/>
        </w:rPr>
        <w:t xml:space="preserve">, the project was scrutinized from a legal, </w:t>
      </w:r>
      <w:r w:rsidRPr="00741C34">
        <w:rPr>
          <w:rFonts w:ascii="Calibri" w:eastAsia="Calibri" w:hAnsi="Calibri" w:cs="Calibri"/>
          <w:color w:val="404040" w:themeColor="text1" w:themeTint="BF"/>
          <w:sz w:val="24"/>
          <w:szCs w:val="24"/>
        </w:rPr>
        <w:t xml:space="preserve">technical, and cost standpoint. The evaluation is supported by years of successful broadband deployment and maintenance of financially viable Cox broadband networks in the State of Nebraska. </w:t>
      </w:r>
    </w:p>
    <w:p w14:paraId="0062F87C" w14:textId="64E45E45" w:rsidR="7BCA46E9" w:rsidRPr="00741C34" w:rsidRDefault="7BCA46E9" w:rsidP="7BCA46E9">
      <w:pPr>
        <w:spacing w:line="257" w:lineRule="auto"/>
        <w:rPr>
          <w:sz w:val="24"/>
          <w:szCs w:val="24"/>
        </w:rPr>
      </w:pPr>
      <w:r w:rsidRPr="00741C34">
        <w:rPr>
          <w:rFonts w:ascii="Calibri" w:eastAsia="Calibri" w:hAnsi="Calibri" w:cs="Calibri"/>
          <w:sz w:val="24"/>
          <w:szCs w:val="24"/>
        </w:rPr>
        <w:t xml:space="preserve"> </w:t>
      </w:r>
    </w:p>
    <w:p w14:paraId="0F6BFF59" w14:textId="37437BEE"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b/>
          <w:bCs/>
          <w:color w:val="404040" w:themeColor="text1" w:themeTint="BF"/>
          <w:sz w:val="24"/>
          <w:szCs w:val="24"/>
        </w:rPr>
        <w:t>Project Overview</w:t>
      </w:r>
      <w:r w:rsidR="007A06C4" w:rsidRPr="00741C34">
        <w:rPr>
          <w:rFonts w:ascii="Calibri" w:eastAsia="Calibri" w:hAnsi="Calibri" w:cs="Calibri"/>
          <w:b/>
          <w:bCs/>
          <w:color w:val="404040" w:themeColor="text1" w:themeTint="BF"/>
          <w:sz w:val="24"/>
          <w:szCs w:val="24"/>
        </w:rPr>
        <w:t xml:space="preserve"> </w:t>
      </w:r>
    </w:p>
    <w:p w14:paraId="6BA2FA18" w14:textId="2BD45A0A" w:rsidR="7BCA46E9" w:rsidRPr="00AA0B5B" w:rsidRDefault="7BCA46E9" w:rsidP="7BCA46E9">
      <w:pPr>
        <w:spacing w:line="257" w:lineRule="auto"/>
        <w:ind w:firstLine="720"/>
        <w:rPr>
          <w:rFonts w:ascii="Calibri" w:eastAsia="Calibri" w:hAnsi="Calibri" w:cs="Calibri"/>
          <w:sz w:val="24"/>
          <w:szCs w:val="24"/>
        </w:rPr>
      </w:pPr>
      <w:r w:rsidRPr="11112685">
        <w:rPr>
          <w:rFonts w:ascii="Calibri" w:eastAsia="Calibri" w:hAnsi="Calibri" w:cs="Calibri"/>
          <w:sz w:val="24"/>
          <w:szCs w:val="24"/>
        </w:rPr>
        <w:t xml:space="preserve">The geographic area of </w:t>
      </w:r>
      <w:r w:rsidR="006F6269" w:rsidRPr="11112685">
        <w:rPr>
          <w:rFonts w:ascii="Calibri" w:eastAsia="Calibri" w:hAnsi="Calibri" w:cs="Calibri"/>
          <w:sz w:val="24"/>
          <w:szCs w:val="24"/>
        </w:rPr>
        <w:t>this project</w:t>
      </w:r>
      <w:r w:rsidRPr="11112685">
        <w:rPr>
          <w:rFonts w:ascii="Calibri" w:eastAsia="Calibri" w:hAnsi="Calibri" w:cs="Calibri"/>
          <w:sz w:val="24"/>
          <w:szCs w:val="24"/>
        </w:rPr>
        <w:t xml:space="preserve"> is in </w:t>
      </w:r>
      <w:r w:rsidR="006F6269" w:rsidRPr="11112685">
        <w:rPr>
          <w:rFonts w:ascii="Calibri" w:eastAsia="Calibri" w:hAnsi="Calibri" w:cs="Calibri"/>
          <w:sz w:val="24"/>
          <w:szCs w:val="24"/>
        </w:rPr>
        <w:t>Cass and Sarpy County</w:t>
      </w:r>
      <w:r w:rsidR="004237E5" w:rsidRPr="11112685">
        <w:rPr>
          <w:rFonts w:ascii="Calibri" w:eastAsia="Calibri" w:hAnsi="Calibri" w:cs="Calibri"/>
          <w:sz w:val="24"/>
          <w:szCs w:val="24"/>
        </w:rPr>
        <w:t>,</w:t>
      </w:r>
      <w:r w:rsidRPr="11112685">
        <w:rPr>
          <w:rFonts w:ascii="Calibri" w:eastAsia="Calibri" w:hAnsi="Calibri" w:cs="Calibri"/>
          <w:sz w:val="24"/>
          <w:szCs w:val="24"/>
        </w:rPr>
        <w:t xml:space="preserve"> </w:t>
      </w:r>
      <w:r w:rsidR="00356B3C" w:rsidRPr="11112685">
        <w:rPr>
          <w:rFonts w:ascii="Calibri" w:eastAsia="Calibri" w:hAnsi="Calibri" w:cs="Calibri"/>
          <w:sz w:val="24"/>
          <w:szCs w:val="24"/>
        </w:rPr>
        <w:t>along highway 34</w:t>
      </w:r>
      <w:r w:rsidR="00826BB9" w:rsidRPr="11112685">
        <w:rPr>
          <w:rFonts w:ascii="Calibri" w:eastAsia="Calibri" w:hAnsi="Calibri" w:cs="Calibri"/>
          <w:sz w:val="24"/>
          <w:szCs w:val="24"/>
        </w:rPr>
        <w:t xml:space="preserve"> </w:t>
      </w:r>
      <w:r w:rsidR="002F1388" w:rsidRPr="11112685">
        <w:rPr>
          <w:rFonts w:ascii="Calibri" w:eastAsia="Calibri" w:hAnsi="Calibri" w:cs="Calibri"/>
          <w:sz w:val="24"/>
          <w:szCs w:val="24"/>
        </w:rPr>
        <w:t xml:space="preserve">south </w:t>
      </w:r>
      <w:r w:rsidR="00826BB9" w:rsidRPr="11112685">
        <w:rPr>
          <w:rFonts w:ascii="Calibri" w:eastAsia="Calibri" w:hAnsi="Calibri" w:cs="Calibri"/>
          <w:sz w:val="24"/>
          <w:szCs w:val="24"/>
        </w:rPr>
        <w:t xml:space="preserve">of the city of </w:t>
      </w:r>
      <w:r w:rsidR="002F1388" w:rsidRPr="11112685">
        <w:rPr>
          <w:rFonts w:ascii="Calibri" w:eastAsia="Calibri" w:hAnsi="Calibri" w:cs="Calibri"/>
          <w:sz w:val="24"/>
          <w:szCs w:val="24"/>
        </w:rPr>
        <w:t>Omaha, Nebraska</w:t>
      </w:r>
      <w:r w:rsidRPr="11112685">
        <w:rPr>
          <w:rFonts w:ascii="Calibri" w:eastAsia="Calibri" w:hAnsi="Calibri" w:cs="Calibri"/>
          <w:sz w:val="24"/>
          <w:szCs w:val="24"/>
        </w:rPr>
        <w:t>. The proposed project, if approved, would</w:t>
      </w:r>
      <w:r w:rsidR="006A68C1" w:rsidRPr="11112685">
        <w:rPr>
          <w:rFonts w:ascii="Calibri" w:eastAsia="Calibri" w:hAnsi="Calibri" w:cs="Calibri"/>
          <w:sz w:val="24"/>
          <w:szCs w:val="24"/>
        </w:rPr>
        <w:t xml:space="preserve"> </w:t>
      </w:r>
      <w:r w:rsidRPr="11112685">
        <w:rPr>
          <w:rFonts w:ascii="Calibri" w:eastAsia="Calibri" w:hAnsi="Calibri" w:cs="Calibri"/>
          <w:sz w:val="24"/>
          <w:szCs w:val="24"/>
        </w:rPr>
        <w:t>deploy fiber broadband internet to the u</w:t>
      </w:r>
      <w:r w:rsidR="00181871" w:rsidRPr="11112685">
        <w:rPr>
          <w:rFonts w:ascii="Calibri" w:eastAsia="Calibri" w:hAnsi="Calibri" w:cs="Calibri"/>
          <w:sz w:val="24"/>
          <w:szCs w:val="24"/>
        </w:rPr>
        <w:t>nserved</w:t>
      </w:r>
      <w:r w:rsidRPr="11112685">
        <w:rPr>
          <w:rFonts w:ascii="Calibri" w:eastAsia="Calibri" w:hAnsi="Calibri" w:cs="Calibri"/>
          <w:sz w:val="24"/>
          <w:szCs w:val="24"/>
        </w:rPr>
        <w:t xml:space="preserve"> serviceable locations around the </w:t>
      </w:r>
      <w:r w:rsidR="00926EDF" w:rsidRPr="11112685">
        <w:rPr>
          <w:rFonts w:ascii="Calibri" w:eastAsia="Calibri" w:hAnsi="Calibri" w:cs="Calibri"/>
          <w:sz w:val="24"/>
          <w:szCs w:val="24"/>
        </w:rPr>
        <w:t>southern part of Sarpy County and the northern part of Cass</w:t>
      </w:r>
      <w:r w:rsidR="008E0A08" w:rsidRPr="11112685">
        <w:rPr>
          <w:rFonts w:ascii="Calibri" w:eastAsia="Calibri" w:hAnsi="Calibri" w:cs="Calibri"/>
          <w:sz w:val="24"/>
          <w:szCs w:val="24"/>
        </w:rPr>
        <w:t>.</w:t>
      </w:r>
      <w:r w:rsidRPr="11112685">
        <w:rPr>
          <w:rFonts w:ascii="Calibri" w:eastAsia="Calibri" w:hAnsi="Calibri" w:cs="Calibri"/>
          <w:sz w:val="24"/>
          <w:szCs w:val="24"/>
        </w:rPr>
        <w:t xml:space="preserve"> </w:t>
      </w:r>
      <w:bookmarkStart w:id="0" w:name="_Int_51LC64VB"/>
      <w:proofErr w:type="gramStart"/>
      <w:r w:rsidRPr="11112685">
        <w:rPr>
          <w:rFonts w:ascii="Calibri" w:eastAsia="Calibri" w:hAnsi="Calibri" w:cs="Calibri"/>
          <w:sz w:val="24"/>
          <w:szCs w:val="24"/>
        </w:rPr>
        <w:t>In order to</w:t>
      </w:r>
      <w:bookmarkEnd w:id="0"/>
      <w:proofErr w:type="gramEnd"/>
      <w:r w:rsidRPr="11112685">
        <w:rPr>
          <w:rFonts w:ascii="Calibri" w:eastAsia="Calibri" w:hAnsi="Calibri" w:cs="Calibri"/>
          <w:sz w:val="24"/>
          <w:szCs w:val="24"/>
        </w:rPr>
        <w:t xml:space="preserve"> complete fiber buildout to all serviceable locations in the community, </w:t>
      </w:r>
      <w:r w:rsidR="00022C39" w:rsidRPr="11112685">
        <w:rPr>
          <w:rFonts w:ascii="Calibri" w:eastAsia="Calibri" w:hAnsi="Calibri" w:cs="Calibri"/>
          <w:sz w:val="24"/>
          <w:szCs w:val="24"/>
        </w:rPr>
        <w:t>1</w:t>
      </w:r>
      <w:r w:rsidR="2BA2FD2D" w:rsidRPr="11112685">
        <w:rPr>
          <w:rFonts w:ascii="Calibri" w:eastAsia="Calibri" w:hAnsi="Calibri" w:cs="Calibri"/>
          <w:sz w:val="24"/>
          <w:szCs w:val="24"/>
        </w:rPr>
        <w:t>4</w:t>
      </w:r>
      <w:r w:rsidR="00EC6C92" w:rsidRPr="11112685">
        <w:rPr>
          <w:rFonts w:ascii="Calibri" w:eastAsia="Calibri" w:hAnsi="Calibri" w:cs="Calibri"/>
          <w:sz w:val="24"/>
          <w:szCs w:val="24"/>
        </w:rPr>
        <w:t xml:space="preserve"> </w:t>
      </w:r>
      <w:r w:rsidRPr="11112685">
        <w:rPr>
          <w:rFonts w:ascii="Calibri" w:eastAsia="Calibri" w:hAnsi="Calibri" w:cs="Calibri"/>
          <w:sz w:val="24"/>
          <w:szCs w:val="24"/>
        </w:rPr>
        <w:t xml:space="preserve">miles of new fiber to </w:t>
      </w:r>
      <w:r w:rsidR="003A6650" w:rsidRPr="11112685">
        <w:rPr>
          <w:rFonts w:ascii="Calibri" w:eastAsia="Calibri" w:hAnsi="Calibri" w:cs="Calibri"/>
          <w:sz w:val="24"/>
          <w:szCs w:val="24"/>
        </w:rPr>
        <w:t>1</w:t>
      </w:r>
      <w:r w:rsidR="2064B2C3" w:rsidRPr="11112685">
        <w:rPr>
          <w:rFonts w:ascii="Calibri" w:eastAsia="Calibri" w:hAnsi="Calibri" w:cs="Calibri"/>
          <w:sz w:val="24"/>
          <w:szCs w:val="24"/>
        </w:rPr>
        <w:t>45</w:t>
      </w:r>
      <w:r w:rsidRPr="11112685">
        <w:rPr>
          <w:rFonts w:ascii="Calibri" w:eastAsia="Calibri" w:hAnsi="Calibri" w:cs="Calibri"/>
          <w:sz w:val="24"/>
          <w:szCs w:val="24"/>
        </w:rPr>
        <w:t xml:space="preserve"> locations will be built and connected to Cox</w:t>
      </w:r>
      <w:r w:rsidR="004237E5" w:rsidRPr="11112685">
        <w:rPr>
          <w:rFonts w:ascii="Calibri" w:eastAsia="Calibri" w:hAnsi="Calibri" w:cs="Calibri"/>
          <w:sz w:val="24"/>
          <w:szCs w:val="24"/>
        </w:rPr>
        <w:t>’s</w:t>
      </w:r>
      <w:r w:rsidRPr="11112685">
        <w:rPr>
          <w:rFonts w:ascii="Calibri" w:eastAsia="Calibri" w:hAnsi="Calibri" w:cs="Calibri"/>
          <w:sz w:val="24"/>
          <w:szCs w:val="24"/>
        </w:rPr>
        <w:t xml:space="preserve"> existing fiber network.</w:t>
      </w:r>
    </w:p>
    <w:p w14:paraId="28D61F8B" w14:textId="77777777" w:rsidR="006A68C1" w:rsidRPr="00741C34" w:rsidRDefault="006A68C1" w:rsidP="006A68C1">
      <w:pPr>
        <w:spacing w:line="257" w:lineRule="auto"/>
        <w:rPr>
          <w:rFonts w:ascii="Calibri" w:eastAsia="Calibri" w:hAnsi="Calibri" w:cs="Calibri"/>
          <w:b/>
          <w:bCs/>
          <w:sz w:val="24"/>
          <w:szCs w:val="24"/>
        </w:rPr>
      </w:pPr>
    </w:p>
    <w:p w14:paraId="5B599B2F" w14:textId="44CDDE4E" w:rsidR="006A68C1" w:rsidRPr="00741C34" w:rsidRDefault="7BCA46E9" w:rsidP="006A68C1">
      <w:pPr>
        <w:spacing w:line="257" w:lineRule="auto"/>
        <w:rPr>
          <w:color w:val="404040" w:themeColor="text1" w:themeTint="BF"/>
          <w:sz w:val="24"/>
          <w:szCs w:val="24"/>
        </w:rPr>
      </w:pPr>
      <w:r w:rsidRPr="00741C34">
        <w:rPr>
          <w:rFonts w:ascii="Calibri" w:eastAsia="Calibri" w:hAnsi="Calibri" w:cs="Calibri"/>
          <w:b/>
          <w:bCs/>
          <w:sz w:val="24"/>
          <w:szCs w:val="24"/>
        </w:rPr>
        <w:t xml:space="preserve"> </w:t>
      </w:r>
      <w:r w:rsidR="006A68C1" w:rsidRPr="00741C34">
        <w:rPr>
          <w:rFonts w:ascii="Calibri" w:eastAsia="Calibri" w:hAnsi="Calibri" w:cs="Calibri"/>
          <w:b/>
          <w:bCs/>
          <w:color w:val="404040" w:themeColor="text1" w:themeTint="BF"/>
          <w:sz w:val="24"/>
          <w:szCs w:val="24"/>
        </w:rPr>
        <w:t xml:space="preserve">Risk/Legal Factors </w:t>
      </w:r>
    </w:p>
    <w:p w14:paraId="17A35196" w14:textId="77777777" w:rsidR="006A68C1" w:rsidRPr="00741C34" w:rsidRDefault="006A68C1" w:rsidP="006A68C1">
      <w:pPr>
        <w:spacing w:line="257" w:lineRule="auto"/>
        <w:rPr>
          <w:rFonts w:ascii="Calibri" w:eastAsia="Calibri" w:hAnsi="Calibri" w:cs="Calibri"/>
          <w:color w:val="404040" w:themeColor="text1" w:themeTint="BF"/>
          <w:sz w:val="24"/>
          <w:szCs w:val="24"/>
        </w:rPr>
      </w:pPr>
      <w:r w:rsidRPr="00741C34">
        <w:rPr>
          <w:rFonts w:ascii="Calibri" w:eastAsia="Calibri" w:hAnsi="Calibri" w:cs="Calibri"/>
          <w:color w:val="404040" w:themeColor="text1" w:themeTint="BF"/>
          <w:sz w:val="24"/>
          <w:szCs w:val="24"/>
        </w:rPr>
        <w:t xml:space="preserve">With the large network that already persists in Omaha, Cox has a good grasp of the legal challenges there. Cox maintains relationships with Dodge County and the surrounding areas and always obtains permissions to work in their jurisdictions. We purposefully communicate project timelines, so all stakeholders are in the loop regarding work. As in the past, Cox will seek approval from Dodge County to bury fiber in the county’s right of way. We are prepared to obtain highway permits and any additional permitting necessary from the Nebraska Department of Transportation.  In the event of railroad crossings, Cox anticipates extra due diligence may be necessary and will proactively work with the county partners for the safest and most expedient resolution. Cox is well-versed in obtaining the requisite permits and approvals to deploy a broadband network and is prepared to build out the serviceable locations in this project legally and efficiently. </w:t>
      </w:r>
    </w:p>
    <w:p w14:paraId="3938FA85" w14:textId="77777777" w:rsidR="006A68C1" w:rsidRPr="00741C34" w:rsidRDefault="006A68C1" w:rsidP="7BCA46E9">
      <w:pPr>
        <w:spacing w:line="257" w:lineRule="auto"/>
        <w:rPr>
          <w:sz w:val="24"/>
          <w:szCs w:val="24"/>
        </w:rPr>
      </w:pPr>
    </w:p>
    <w:p w14:paraId="080C0BAF" w14:textId="6CE8C776"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b/>
          <w:bCs/>
          <w:color w:val="404040" w:themeColor="text1" w:themeTint="BF"/>
          <w:sz w:val="24"/>
          <w:szCs w:val="24"/>
        </w:rPr>
        <w:t xml:space="preserve">Maintenance </w:t>
      </w:r>
      <w:r w:rsidR="007A06C4" w:rsidRPr="00741C34">
        <w:rPr>
          <w:rFonts w:ascii="Calibri" w:eastAsia="Calibri" w:hAnsi="Calibri" w:cs="Calibri"/>
          <w:b/>
          <w:bCs/>
          <w:color w:val="404040" w:themeColor="text1" w:themeTint="BF"/>
          <w:sz w:val="24"/>
          <w:szCs w:val="24"/>
        </w:rPr>
        <w:t>(Expected useful life of facilities/components)</w:t>
      </w:r>
    </w:p>
    <w:p w14:paraId="060B8502" w14:textId="7C8E3397" w:rsidR="7BCA46E9" w:rsidRPr="00741C34" w:rsidRDefault="7BCA46E9" w:rsidP="6D1C9177">
      <w:pPr>
        <w:spacing w:line="257" w:lineRule="auto"/>
        <w:rPr>
          <w:rFonts w:ascii="Calibri" w:eastAsia="Calibri" w:hAnsi="Calibri" w:cs="Calibri"/>
          <w:sz w:val="24"/>
          <w:szCs w:val="24"/>
          <w:highlight w:val="yellow"/>
        </w:rPr>
      </w:pPr>
      <w:r w:rsidRPr="00741C34">
        <w:rPr>
          <w:rFonts w:ascii="Calibri" w:eastAsia="Calibri" w:hAnsi="Calibri" w:cs="Calibri"/>
          <w:color w:val="404040" w:themeColor="text1" w:themeTint="BF"/>
          <w:sz w:val="24"/>
          <w:szCs w:val="24"/>
        </w:rPr>
        <w:t xml:space="preserve">Cox understands what it takes to build and maintain a broadband network. Our Omaha market has over 400 </w:t>
      </w:r>
      <w:r w:rsidR="00004B21" w:rsidRPr="00741C34">
        <w:rPr>
          <w:rFonts w:ascii="Calibri" w:eastAsia="Calibri" w:hAnsi="Calibri" w:cs="Calibri"/>
          <w:color w:val="404040" w:themeColor="text1" w:themeTint="BF"/>
          <w:sz w:val="24"/>
          <w:szCs w:val="24"/>
        </w:rPr>
        <w:t xml:space="preserve">technicians </w:t>
      </w:r>
      <w:r w:rsidRPr="00741C34">
        <w:rPr>
          <w:rFonts w:ascii="Calibri" w:eastAsia="Calibri" w:hAnsi="Calibri" w:cs="Calibri"/>
          <w:color w:val="404040" w:themeColor="text1" w:themeTint="BF"/>
          <w:sz w:val="24"/>
          <w:szCs w:val="24"/>
        </w:rPr>
        <w:t xml:space="preserve">capable of maintaining the existing broadband network and the project area for its expected life. Cox will be deploying </w:t>
      </w:r>
      <w:bookmarkStart w:id="1" w:name="_Int_CF3bKkus"/>
      <w:proofErr w:type="gramStart"/>
      <w:r w:rsidRPr="00741C34">
        <w:rPr>
          <w:rFonts w:ascii="Calibri" w:eastAsia="Calibri" w:hAnsi="Calibri" w:cs="Calibri"/>
          <w:color w:val="404040" w:themeColor="text1" w:themeTint="BF"/>
          <w:sz w:val="24"/>
          <w:szCs w:val="24"/>
        </w:rPr>
        <w:t>the majority of</w:t>
      </w:r>
      <w:bookmarkEnd w:id="1"/>
      <w:proofErr w:type="gramEnd"/>
      <w:r w:rsidRPr="00741C34">
        <w:rPr>
          <w:rFonts w:ascii="Calibri" w:eastAsia="Calibri" w:hAnsi="Calibri" w:cs="Calibri"/>
          <w:color w:val="404040" w:themeColor="text1" w:themeTint="BF"/>
          <w:sz w:val="24"/>
          <w:szCs w:val="24"/>
        </w:rPr>
        <w:t xml:space="preserve"> fiber underground which </w:t>
      </w:r>
      <w:r w:rsidRPr="00741C34">
        <w:rPr>
          <w:rFonts w:ascii="Calibri" w:eastAsia="Calibri" w:hAnsi="Calibri" w:cs="Calibri"/>
          <w:color w:val="404040" w:themeColor="text1" w:themeTint="BF"/>
          <w:sz w:val="24"/>
          <w:szCs w:val="24"/>
        </w:rPr>
        <w:lastRenderedPageBreak/>
        <w:t>ensures the highest level of reliability and lowest ongoing maintenance costs. All Distribution Major/Minor Field Equipment</w:t>
      </w:r>
      <w:r w:rsidRPr="00741C34">
        <w:rPr>
          <w:rFonts w:ascii="Calibri" w:eastAsia="Calibri" w:hAnsi="Calibri" w:cs="Calibri"/>
          <w:sz w:val="24"/>
          <w:szCs w:val="24"/>
        </w:rPr>
        <w:t xml:space="preserve"> has an average useful life of 20 years.</w:t>
      </w:r>
    </w:p>
    <w:p w14:paraId="79622BCB" w14:textId="2B2CED76" w:rsidR="7BCA46E9" w:rsidRPr="00741C34" w:rsidRDefault="006A68C1" w:rsidP="7BCA46E9">
      <w:pPr>
        <w:spacing w:line="257" w:lineRule="auto"/>
        <w:rPr>
          <w:rFonts w:ascii="Calibri" w:eastAsia="Calibri" w:hAnsi="Calibri" w:cs="Calibri"/>
          <w:b/>
          <w:bCs/>
          <w:sz w:val="24"/>
          <w:szCs w:val="24"/>
        </w:rPr>
      </w:pPr>
      <w:r w:rsidRPr="00741C34">
        <w:rPr>
          <w:rFonts w:ascii="Calibri" w:eastAsia="Calibri" w:hAnsi="Calibri" w:cs="Calibri"/>
          <w:b/>
          <w:bCs/>
          <w:sz w:val="24"/>
          <w:szCs w:val="24"/>
        </w:rPr>
        <w:t>Previous Awards</w:t>
      </w:r>
    </w:p>
    <w:p w14:paraId="7859571C" w14:textId="4ECCA617" w:rsidR="006A68C1" w:rsidRPr="00741C34" w:rsidRDefault="006A68C1" w:rsidP="006A68C1">
      <w:pPr>
        <w:spacing w:line="257" w:lineRule="auto"/>
        <w:rPr>
          <w:rFonts w:ascii="Calibri" w:eastAsia="Calibri" w:hAnsi="Calibri" w:cs="Calibri"/>
          <w:sz w:val="24"/>
          <w:szCs w:val="24"/>
        </w:rPr>
      </w:pPr>
      <w:r w:rsidRPr="00741C34">
        <w:rPr>
          <w:rFonts w:ascii="Calibri" w:eastAsia="Calibri" w:hAnsi="Calibri" w:cs="Calibri"/>
          <w:sz w:val="24"/>
          <w:szCs w:val="24"/>
        </w:rPr>
        <w:t xml:space="preserve">Cox is a recipient of multiple federal and state awards in support of broadband expansion to un- and underserved areas in Virginia, Arizona, Louisiana, Georgia, Arkansas, Florida, </w:t>
      </w:r>
      <w:r w:rsidR="00974FBB" w:rsidRPr="00741C34">
        <w:rPr>
          <w:rFonts w:ascii="Calibri" w:eastAsia="Calibri" w:hAnsi="Calibri" w:cs="Calibri"/>
          <w:sz w:val="24"/>
          <w:szCs w:val="24"/>
        </w:rPr>
        <w:t>Oklahoma,</w:t>
      </w:r>
      <w:r w:rsidRPr="00741C34">
        <w:rPr>
          <w:rFonts w:ascii="Calibri" w:eastAsia="Calibri" w:hAnsi="Calibri" w:cs="Calibri"/>
          <w:sz w:val="24"/>
          <w:szCs w:val="24"/>
        </w:rPr>
        <w:t xml:space="preserve"> Kansas</w:t>
      </w:r>
      <w:r w:rsidR="00150624" w:rsidRPr="00741C34">
        <w:rPr>
          <w:rFonts w:ascii="Calibri" w:eastAsia="Calibri" w:hAnsi="Calibri" w:cs="Calibri"/>
          <w:sz w:val="24"/>
          <w:szCs w:val="24"/>
        </w:rPr>
        <w:t>,</w:t>
      </w:r>
      <w:r w:rsidRPr="00741C34">
        <w:rPr>
          <w:rFonts w:ascii="Calibri" w:eastAsia="Calibri" w:hAnsi="Calibri" w:cs="Calibri"/>
          <w:sz w:val="24"/>
          <w:szCs w:val="24"/>
        </w:rPr>
        <w:t xml:space="preserve"> </w:t>
      </w:r>
      <w:r w:rsidR="00150624" w:rsidRPr="00741C34">
        <w:rPr>
          <w:rFonts w:ascii="Calibri" w:eastAsia="Calibri" w:hAnsi="Calibri" w:cs="Calibri"/>
          <w:sz w:val="24"/>
          <w:szCs w:val="24"/>
        </w:rPr>
        <w:t xml:space="preserve">as well as Nebraska, </w:t>
      </w:r>
      <w:r w:rsidRPr="00741C34">
        <w:rPr>
          <w:rFonts w:ascii="Calibri" w:eastAsia="Calibri" w:hAnsi="Calibri" w:cs="Calibri"/>
          <w:sz w:val="24"/>
          <w:szCs w:val="24"/>
        </w:rPr>
        <w:t xml:space="preserve">including the Rural Digital Opportunity Fund (RDOF), American Rescue Plan Act (ARPA), State and Local Fiscal Recovery Funds (SLFRF), Virginia Telecommunications Initiative (VATI), Nebraska Broadband Bridge Program (NBBP) and the Capital Projects Fund (CPF). </w:t>
      </w:r>
    </w:p>
    <w:p w14:paraId="166FD6E5" w14:textId="77777777" w:rsidR="006A68C1" w:rsidRPr="00741C34" w:rsidRDefault="006A68C1" w:rsidP="006A68C1">
      <w:pPr>
        <w:spacing w:line="257" w:lineRule="auto"/>
        <w:rPr>
          <w:rFonts w:ascii="Calibri" w:eastAsia="Calibri" w:hAnsi="Calibri" w:cs="Calibri"/>
          <w:sz w:val="24"/>
          <w:szCs w:val="24"/>
        </w:rPr>
      </w:pPr>
    </w:p>
    <w:p w14:paraId="5C8C0F51" w14:textId="263C3674" w:rsidR="006A68C1" w:rsidRPr="00741C34" w:rsidRDefault="006A68C1" w:rsidP="006A68C1">
      <w:pPr>
        <w:spacing w:line="257" w:lineRule="auto"/>
        <w:rPr>
          <w:rFonts w:ascii="Calibri" w:eastAsia="Calibri" w:hAnsi="Calibri" w:cs="Calibri"/>
          <w:sz w:val="24"/>
          <w:szCs w:val="24"/>
        </w:rPr>
      </w:pPr>
      <w:r w:rsidRPr="00741C34">
        <w:rPr>
          <w:rFonts w:ascii="Calibri" w:eastAsia="Calibri" w:hAnsi="Calibri" w:cs="Calibri"/>
          <w:sz w:val="24"/>
          <w:szCs w:val="24"/>
        </w:rPr>
        <w:t>Since 2021, Cox successfully secured more than $</w:t>
      </w:r>
      <w:r w:rsidR="006A6AC7" w:rsidRPr="00741C34">
        <w:rPr>
          <w:rFonts w:ascii="Calibri" w:eastAsia="Calibri" w:hAnsi="Calibri" w:cs="Calibri"/>
          <w:sz w:val="24"/>
          <w:szCs w:val="24"/>
        </w:rPr>
        <w:t>90</w:t>
      </w:r>
      <w:r w:rsidRPr="00741C34">
        <w:rPr>
          <w:rFonts w:ascii="Calibri" w:eastAsia="Calibri" w:hAnsi="Calibri" w:cs="Calibri"/>
          <w:sz w:val="24"/>
          <w:szCs w:val="24"/>
        </w:rPr>
        <w:t xml:space="preserve">M to subsidize expansion projects totaling nearly $200M that, upon completion, will result in connecting more than 32,000 previously un- and underserved homes and businesses to gigabit broadband speeds. We also have several applications currently </w:t>
      </w:r>
      <w:r w:rsidR="00150624" w:rsidRPr="00741C34">
        <w:rPr>
          <w:rFonts w:ascii="Calibri" w:eastAsia="Calibri" w:hAnsi="Calibri" w:cs="Calibri"/>
          <w:sz w:val="24"/>
          <w:szCs w:val="24"/>
        </w:rPr>
        <w:t xml:space="preserve">pending </w:t>
      </w:r>
      <w:r w:rsidRPr="00741C34">
        <w:rPr>
          <w:rFonts w:ascii="Calibri" w:eastAsia="Calibri" w:hAnsi="Calibri" w:cs="Calibri"/>
          <w:sz w:val="24"/>
          <w:szCs w:val="24"/>
        </w:rPr>
        <w:t xml:space="preserve">in different stages of the review and award </w:t>
      </w:r>
      <w:r w:rsidR="00974FBB" w:rsidRPr="00741C34">
        <w:rPr>
          <w:rFonts w:ascii="Calibri" w:eastAsia="Calibri" w:hAnsi="Calibri" w:cs="Calibri"/>
          <w:sz w:val="24"/>
          <w:szCs w:val="24"/>
        </w:rPr>
        <w:t>process.</w:t>
      </w:r>
    </w:p>
    <w:p w14:paraId="251E9E37" w14:textId="30FFA80D" w:rsidR="006A68C1" w:rsidRPr="00741C34" w:rsidRDefault="006A68C1" w:rsidP="7BCA46E9">
      <w:pPr>
        <w:spacing w:line="257" w:lineRule="auto"/>
        <w:rPr>
          <w:rFonts w:ascii="Calibri" w:eastAsia="Calibri" w:hAnsi="Calibri" w:cs="Calibri"/>
          <w:sz w:val="24"/>
          <w:szCs w:val="24"/>
        </w:rPr>
      </w:pPr>
    </w:p>
    <w:p w14:paraId="0A562FB1" w14:textId="2E6E5512"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b/>
          <w:bCs/>
          <w:color w:val="404040" w:themeColor="text1" w:themeTint="BF"/>
          <w:sz w:val="24"/>
          <w:szCs w:val="24"/>
        </w:rPr>
        <w:t xml:space="preserve">Financials </w:t>
      </w:r>
    </w:p>
    <w:p w14:paraId="344EF013" w14:textId="36A9CF75" w:rsidR="7BCA46E9" w:rsidRPr="00AA0B5B" w:rsidRDefault="7BCA46E9" w:rsidP="18B19AFC">
      <w:pPr>
        <w:spacing w:line="257" w:lineRule="auto"/>
        <w:rPr>
          <w:rFonts w:ascii="Calibri" w:eastAsia="Calibri" w:hAnsi="Calibri" w:cs="Calibri"/>
          <w:color w:val="404040" w:themeColor="text1" w:themeTint="BF"/>
          <w:sz w:val="24"/>
          <w:szCs w:val="24"/>
        </w:rPr>
      </w:pPr>
      <w:r w:rsidRPr="11112685">
        <w:rPr>
          <w:rFonts w:ascii="Calibri" w:eastAsia="Calibri" w:hAnsi="Calibri" w:cs="Calibri"/>
          <w:color w:val="404040" w:themeColor="text1" w:themeTint="BF"/>
          <w:sz w:val="24"/>
          <w:szCs w:val="24"/>
        </w:rPr>
        <w:t>Cox will have funds available for all project costs that exceed the amount of requested support to be received for this project. The cost of the project for all locations is estimated to be</w:t>
      </w:r>
      <w:r w:rsidR="007C2CBF" w:rsidRPr="11112685">
        <w:rPr>
          <w:rFonts w:ascii="Calibri" w:eastAsia="Calibri" w:hAnsi="Calibri" w:cs="Calibri"/>
          <w:color w:val="404040" w:themeColor="text1" w:themeTint="BF"/>
          <w:sz w:val="24"/>
          <w:szCs w:val="24"/>
        </w:rPr>
        <w:t xml:space="preserve"> $</w:t>
      </w:r>
      <w:r w:rsidR="0F4363AF" w:rsidRPr="11112685">
        <w:rPr>
          <w:rFonts w:ascii="Calibri" w:eastAsia="Calibri" w:hAnsi="Calibri" w:cs="Calibri"/>
          <w:color w:val="404040" w:themeColor="text1" w:themeTint="BF"/>
          <w:sz w:val="24"/>
          <w:szCs w:val="24"/>
        </w:rPr>
        <w:t>1</w:t>
      </w:r>
      <w:r w:rsidR="004C216E" w:rsidRPr="11112685">
        <w:rPr>
          <w:rFonts w:ascii="Calibri" w:eastAsia="Calibri" w:hAnsi="Calibri" w:cs="Calibri"/>
          <w:color w:val="404040" w:themeColor="text1" w:themeTint="BF"/>
          <w:sz w:val="24"/>
          <w:szCs w:val="24"/>
        </w:rPr>
        <w:t>,</w:t>
      </w:r>
      <w:r w:rsidR="00D5562A" w:rsidRPr="11112685">
        <w:rPr>
          <w:rFonts w:ascii="Calibri" w:eastAsia="Calibri" w:hAnsi="Calibri" w:cs="Calibri"/>
          <w:color w:val="404040" w:themeColor="text1" w:themeTint="BF"/>
          <w:sz w:val="24"/>
          <w:szCs w:val="24"/>
        </w:rPr>
        <w:t>388</w:t>
      </w:r>
      <w:r w:rsidRPr="11112685">
        <w:rPr>
          <w:rFonts w:ascii="Calibri" w:eastAsia="Calibri" w:hAnsi="Calibri" w:cs="Calibri"/>
          <w:color w:val="404040" w:themeColor="text1" w:themeTint="BF"/>
          <w:sz w:val="24"/>
          <w:szCs w:val="24"/>
        </w:rPr>
        <w:t>,</w:t>
      </w:r>
      <w:r w:rsidR="70237E09" w:rsidRPr="11112685">
        <w:rPr>
          <w:rFonts w:ascii="Calibri" w:eastAsia="Calibri" w:hAnsi="Calibri" w:cs="Calibri"/>
          <w:color w:val="404040" w:themeColor="text1" w:themeTint="BF"/>
          <w:sz w:val="24"/>
          <w:szCs w:val="24"/>
        </w:rPr>
        <w:t>298</w:t>
      </w:r>
      <w:r w:rsidRPr="11112685">
        <w:rPr>
          <w:rFonts w:ascii="Calibri" w:eastAsia="Calibri" w:hAnsi="Calibri" w:cs="Calibri"/>
          <w:color w:val="404040" w:themeColor="text1" w:themeTint="BF"/>
          <w:sz w:val="24"/>
          <w:szCs w:val="24"/>
        </w:rPr>
        <w:t xml:space="preserve"> whereas the requested support is</w:t>
      </w:r>
      <w:r w:rsidR="007C2CBF" w:rsidRPr="11112685">
        <w:rPr>
          <w:rFonts w:ascii="Calibri" w:eastAsia="Calibri" w:hAnsi="Calibri" w:cs="Calibri"/>
          <w:color w:val="404040" w:themeColor="text1" w:themeTint="BF"/>
          <w:sz w:val="24"/>
          <w:szCs w:val="24"/>
        </w:rPr>
        <w:t xml:space="preserve"> $</w:t>
      </w:r>
      <w:r w:rsidR="1235760A" w:rsidRPr="11112685">
        <w:rPr>
          <w:rFonts w:ascii="Calibri" w:eastAsia="Calibri" w:hAnsi="Calibri" w:cs="Calibri"/>
          <w:color w:val="404040" w:themeColor="text1" w:themeTint="BF"/>
          <w:sz w:val="24"/>
          <w:szCs w:val="24"/>
        </w:rPr>
        <w:t>1</w:t>
      </w:r>
      <w:r w:rsidR="00AB736D" w:rsidRPr="11112685">
        <w:rPr>
          <w:rFonts w:ascii="Calibri" w:eastAsia="Calibri" w:hAnsi="Calibri" w:cs="Calibri"/>
          <w:color w:val="404040" w:themeColor="text1" w:themeTint="BF"/>
          <w:sz w:val="24"/>
          <w:szCs w:val="24"/>
        </w:rPr>
        <w:t>,0</w:t>
      </w:r>
      <w:r w:rsidR="686FE46C" w:rsidRPr="11112685">
        <w:rPr>
          <w:rFonts w:ascii="Calibri" w:eastAsia="Calibri" w:hAnsi="Calibri" w:cs="Calibri"/>
          <w:color w:val="404040" w:themeColor="text1" w:themeTint="BF"/>
          <w:sz w:val="24"/>
          <w:szCs w:val="24"/>
        </w:rPr>
        <w:t>40</w:t>
      </w:r>
      <w:r w:rsidR="00AB736D" w:rsidRPr="11112685">
        <w:rPr>
          <w:rFonts w:ascii="Calibri" w:eastAsia="Calibri" w:hAnsi="Calibri" w:cs="Calibri"/>
          <w:color w:val="404040" w:themeColor="text1" w:themeTint="BF"/>
          <w:sz w:val="24"/>
          <w:szCs w:val="24"/>
        </w:rPr>
        <w:t>,</w:t>
      </w:r>
      <w:r w:rsidR="69A305A5" w:rsidRPr="11112685">
        <w:rPr>
          <w:rFonts w:ascii="Calibri" w:eastAsia="Calibri" w:hAnsi="Calibri" w:cs="Calibri"/>
          <w:color w:val="404040" w:themeColor="text1" w:themeTint="BF"/>
          <w:sz w:val="24"/>
          <w:szCs w:val="24"/>
        </w:rPr>
        <w:t>627</w:t>
      </w:r>
      <w:r w:rsidRPr="11112685">
        <w:rPr>
          <w:rFonts w:ascii="Calibri" w:eastAsia="Calibri" w:hAnsi="Calibri" w:cs="Calibri"/>
          <w:color w:val="404040" w:themeColor="text1" w:themeTint="BF"/>
          <w:sz w:val="24"/>
          <w:szCs w:val="24"/>
        </w:rPr>
        <w:t xml:space="preserve">. Cox </w:t>
      </w:r>
      <w:r w:rsidR="000F1E0F" w:rsidRPr="11112685">
        <w:rPr>
          <w:rFonts w:ascii="Calibri" w:eastAsia="Calibri" w:hAnsi="Calibri" w:cs="Calibri"/>
          <w:color w:val="404040" w:themeColor="text1" w:themeTint="BF"/>
          <w:sz w:val="24"/>
          <w:szCs w:val="24"/>
        </w:rPr>
        <w:t xml:space="preserve">will provide </w:t>
      </w:r>
      <w:r w:rsidR="000F62B4" w:rsidRPr="11112685">
        <w:rPr>
          <w:rFonts w:ascii="Calibri" w:eastAsia="Calibri" w:hAnsi="Calibri" w:cs="Calibri"/>
          <w:color w:val="404040" w:themeColor="text1" w:themeTint="BF"/>
          <w:sz w:val="24"/>
          <w:szCs w:val="24"/>
        </w:rPr>
        <w:t>private funding needed for the match source and will</w:t>
      </w:r>
      <w:r w:rsidRPr="11112685">
        <w:rPr>
          <w:rFonts w:ascii="Calibri" w:eastAsia="Calibri" w:hAnsi="Calibri" w:cs="Calibri"/>
          <w:color w:val="404040" w:themeColor="text1" w:themeTint="BF"/>
          <w:sz w:val="24"/>
          <w:szCs w:val="24"/>
        </w:rPr>
        <w:t xml:space="preserve"> not need to borrow funds to complete the buildout obligations for these service areas</w:t>
      </w:r>
      <w:r w:rsidR="000F1E0F" w:rsidRPr="11112685">
        <w:rPr>
          <w:rFonts w:ascii="Calibri" w:eastAsia="Calibri" w:hAnsi="Calibri" w:cs="Calibri"/>
          <w:color w:val="404040" w:themeColor="text1" w:themeTint="BF"/>
          <w:sz w:val="24"/>
          <w:szCs w:val="24"/>
        </w:rPr>
        <w:t>.</w:t>
      </w:r>
      <w:r w:rsidR="0048711E" w:rsidRPr="11112685">
        <w:rPr>
          <w:rFonts w:ascii="Calibri" w:eastAsia="Calibri" w:hAnsi="Calibri" w:cs="Calibri"/>
          <w:color w:val="404040" w:themeColor="text1" w:themeTint="BF"/>
          <w:sz w:val="24"/>
          <w:szCs w:val="24"/>
        </w:rPr>
        <w:t xml:space="preserve"> </w:t>
      </w:r>
      <w:r w:rsidRPr="11112685">
        <w:rPr>
          <w:rFonts w:ascii="Calibri" w:eastAsia="Calibri" w:hAnsi="Calibri" w:cs="Calibri"/>
          <w:color w:val="404040" w:themeColor="text1" w:themeTint="BF"/>
          <w:sz w:val="24"/>
          <w:szCs w:val="24"/>
        </w:rPr>
        <w:t xml:space="preserve">In addition to available funds currently in operations, Cox expects to generate enough cash flows going forward from providing service to these currently unserved locations to support the maintenance of infrastructure on an ongoing basis. </w:t>
      </w:r>
    </w:p>
    <w:p w14:paraId="5CF5E001" w14:textId="7AE1779E" w:rsidR="0E3D3178" w:rsidRPr="00AA0B5B" w:rsidRDefault="0E3D3178" w:rsidP="18B19AFC">
      <w:pPr>
        <w:spacing w:line="257" w:lineRule="auto"/>
        <w:rPr>
          <w:rFonts w:ascii="Calibri" w:eastAsia="Calibri" w:hAnsi="Calibri" w:cs="Calibri"/>
          <w:color w:val="404040" w:themeColor="text1" w:themeTint="BF"/>
          <w:sz w:val="24"/>
          <w:szCs w:val="24"/>
        </w:rPr>
      </w:pPr>
      <w:r w:rsidRPr="18B19AFC">
        <w:rPr>
          <w:rFonts w:ascii="Calibri" w:eastAsia="Calibri" w:hAnsi="Calibri" w:cs="Calibri"/>
          <w:color w:val="404040" w:themeColor="text1" w:themeTint="BF"/>
          <w:sz w:val="24"/>
          <w:szCs w:val="24"/>
        </w:rPr>
        <w:t>Cox does not see any key risks to financial sustainability for this project.  We have provided our Financial Profile and Letter of Good Standing as evidence to stability and available funds.  We have included conservative penetration estimates in this project area and have seen the trends of low churn in un</w:t>
      </w:r>
      <w:r w:rsidR="00150624" w:rsidRPr="18B19AFC">
        <w:rPr>
          <w:rFonts w:ascii="Calibri" w:eastAsia="Calibri" w:hAnsi="Calibri" w:cs="Calibri"/>
          <w:color w:val="404040" w:themeColor="text1" w:themeTint="BF"/>
          <w:sz w:val="24"/>
          <w:szCs w:val="24"/>
        </w:rPr>
        <w:t>-</w:t>
      </w:r>
      <w:r w:rsidRPr="18B19AFC">
        <w:rPr>
          <w:rFonts w:ascii="Calibri" w:eastAsia="Calibri" w:hAnsi="Calibri" w:cs="Calibri"/>
          <w:color w:val="404040" w:themeColor="text1" w:themeTint="BF"/>
          <w:sz w:val="24"/>
          <w:szCs w:val="24"/>
        </w:rPr>
        <w:t xml:space="preserve"> and underserved areas.  We also have evidence that we maintain our estimated adoption and take rates, even when competition enters the project area.  Cox also fully participates in the Affordable Care Program (ACP) and uses it as one of multiple tools to drive adoption and affordability for new subscribers.</w:t>
      </w:r>
    </w:p>
    <w:p w14:paraId="72B5635A" w14:textId="07071A26" w:rsidR="008566E4" w:rsidRPr="00F93FEB" w:rsidRDefault="11948A8D" w:rsidP="18B19AFC">
      <w:pPr>
        <w:spacing w:line="257" w:lineRule="auto"/>
        <w:rPr>
          <w:rFonts w:ascii="Calibri" w:eastAsia="Calibri" w:hAnsi="Calibri" w:cs="Calibri"/>
          <w:color w:val="404040" w:themeColor="text1" w:themeTint="BF"/>
          <w:sz w:val="24"/>
          <w:szCs w:val="24"/>
        </w:rPr>
      </w:pPr>
      <w:r w:rsidRPr="48C3A562">
        <w:rPr>
          <w:rFonts w:ascii="Calibri" w:eastAsia="Calibri" w:hAnsi="Calibri" w:cs="Calibri"/>
          <w:color w:val="404040" w:themeColor="text1" w:themeTint="BF"/>
          <w:sz w:val="24"/>
          <w:szCs w:val="24"/>
        </w:rPr>
        <w:t xml:space="preserve">Project Plan: Cox </w:t>
      </w:r>
      <w:r w:rsidR="00004B21" w:rsidRPr="48C3A562">
        <w:rPr>
          <w:rFonts w:ascii="Calibri" w:eastAsia="Calibri" w:hAnsi="Calibri" w:cs="Calibri"/>
          <w:color w:val="404040" w:themeColor="text1" w:themeTint="BF"/>
          <w:sz w:val="24"/>
          <w:szCs w:val="24"/>
        </w:rPr>
        <w:t xml:space="preserve">Nebraska Telcom </w:t>
      </w:r>
      <w:r w:rsidRPr="48C3A562">
        <w:rPr>
          <w:rFonts w:ascii="Calibri" w:eastAsia="Calibri" w:hAnsi="Calibri" w:cs="Calibri"/>
          <w:color w:val="404040" w:themeColor="text1" w:themeTint="BF"/>
          <w:sz w:val="24"/>
          <w:szCs w:val="24"/>
        </w:rPr>
        <w:t xml:space="preserve">proposes to build a fiber to the home network consisting of </w:t>
      </w:r>
      <w:r w:rsidR="00EC6C92" w:rsidRPr="48C3A562">
        <w:rPr>
          <w:rFonts w:ascii="Calibri" w:eastAsia="Calibri" w:hAnsi="Calibri" w:cs="Calibri"/>
          <w:color w:val="404040" w:themeColor="text1" w:themeTint="BF"/>
          <w:sz w:val="24"/>
          <w:szCs w:val="24"/>
        </w:rPr>
        <w:t>1</w:t>
      </w:r>
      <w:r w:rsidR="0FAB4393" w:rsidRPr="48C3A562">
        <w:rPr>
          <w:rFonts w:ascii="Calibri" w:eastAsia="Calibri" w:hAnsi="Calibri" w:cs="Calibri"/>
          <w:color w:val="404040" w:themeColor="text1" w:themeTint="BF"/>
          <w:sz w:val="24"/>
          <w:szCs w:val="24"/>
        </w:rPr>
        <w:t>4</w:t>
      </w:r>
      <w:r w:rsidR="0CDD23A3" w:rsidRPr="48C3A562">
        <w:rPr>
          <w:rFonts w:ascii="Calibri" w:eastAsia="Calibri" w:hAnsi="Calibri" w:cs="Calibri"/>
          <w:color w:val="404040" w:themeColor="text1" w:themeTint="BF"/>
          <w:sz w:val="24"/>
          <w:szCs w:val="24"/>
        </w:rPr>
        <w:t xml:space="preserve"> </w:t>
      </w:r>
      <w:r w:rsidRPr="48C3A562">
        <w:rPr>
          <w:rFonts w:ascii="Calibri" w:eastAsia="Calibri" w:hAnsi="Calibri" w:cs="Calibri"/>
          <w:color w:val="404040" w:themeColor="text1" w:themeTint="BF"/>
          <w:sz w:val="24"/>
          <w:szCs w:val="24"/>
        </w:rPr>
        <w:t xml:space="preserve">fiber miles </w:t>
      </w:r>
      <w:proofErr w:type="gramStart"/>
      <w:r w:rsidRPr="48C3A562">
        <w:rPr>
          <w:rFonts w:ascii="Calibri" w:eastAsia="Calibri" w:hAnsi="Calibri" w:cs="Calibri"/>
          <w:color w:val="404040" w:themeColor="text1" w:themeTint="BF"/>
          <w:sz w:val="24"/>
          <w:szCs w:val="24"/>
        </w:rPr>
        <w:t>in order to</w:t>
      </w:r>
      <w:proofErr w:type="gramEnd"/>
      <w:r w:rsidRPr="48C3A562">
        <w:rPr>
          <w:rFonts w:ascii="Calibri" w:eastAsia="Calibri" w:hAnsi="Calibri" w:cs="Calibri"/>
          <w:color w:val="404040" w:themeColor="text1" w:themeTint="BF"/>
          <w:sz w:val="24"/>
          <w:szCs w:val="24"/>
        </w:rPr>
        <w:t xml:space="preserve"> serve </w:t>
      </w:r>
      <w:r w:rsidR="00517734" w:rsidRPr="48C3A562">
        <w:rPr>
          <w:rFonts w:ascii="Calibri" w:eastAsia="Calibri" w:hAnsi="Calibri" w:cs="Calibri"/>
          <w:color w:val="404040" w:themeColor="text1" w:themeTint="BF"/>
          <w:sz w:val="24"/>
          <w:szCs w:val="24"/>
        </w:rPr>
        <w:t>1</w:t>
      </w:r>
      <w:r w:rsidR="1934578A" w:rsidRPr="48C3A562">
        <w:rPr>
          <w:rFonts w:ascii="Calibri" w:eastAsia="Calibri" w:hAnsi="Calibri" w:cs="Calibri"/>
          <w:color w:val="404040" w:themeColor="text1" w:themeTint="BF"/>
          <w:sz w:val="24"/>
          <w:szCs w:val="24"/>
        </w:rPr>
        <w:t>45</w:t>
      </w:r>
      <w:r w:rsidRPr="48C3A562">
        <w:rPr>
          <w:rFonts w:ascii="Calibri" w:eastAsia="Calibri" w:hAnsi="Calibri" w:cs="Calibri"/>
          <w:color w:val="404040" w:themeColor="text1" w:themeTint="BF"/>
          <w:sz w:val="24"/>
          <w:szCs w:val="24"/>
        </w:rPr>
        <w:t xml:space="preserve"> locations.</w:t>
      </w:r>
      <w:r w:rsidR="003356D8" w:rsidRPr="003356D8">
        <w:t xml:space="preserve"> </w:t>
      </w:r>
    </w:p>
    <w:p w14:paraId="555E6E7D" w14:textId="36B6D040" w:rsidR="7BCA46E9" w:rsidRDefault="003356D8" w:rsidP="7D81CB6A">
      <w:r w:rsidRPr="003356D8">
        <w:drawing>
          <wp:anchor distT="0" distB="0" distL="114300" distR="114300" simplePos="0" relativeHeight="251658240" behindDoc="1" locked="0" layoutInCell="1" allowOverlap="1" wp14:anchorId="5AB8EB75" wp14:editId="6AFBC056">
            <wp:simplePos x="0" y="0"/>
            <wp:positionH relativeFrom="margin">
              <wp:align>center</wp:align>
            </wp:positionH>
            <wp:positionV relativeFrom="paragraph">
              <wp:posOffset>-3810</wp:posOffset>
            </wp:positionV>
            <wp:extent cx="4752975" cy="1299845"/>
            <wp:effectExtent l="0" t="0" r="9525" b="0"/>
            <wp:wrapNone/>
            <wp:docPr id="44079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7BCA46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15B0" w14:textId="77777777" w:rsidR="00081368" w:rsidRDefault="00081368" w:rsidP="00486B8B">
      <w:pPr>
        <w:spacing w:after="0" w:line="240" w:lineRule="auto"/>
      </w:pPr>
      <w:r>
        <w:separator/>
      </w:r>
    </w:p>
  </w:endnote>
  <w:endnote w:type="continuationSeparator" w:id="0">
    <w:p w14:paraId="547DF1E6" w14:textId="77777777" w:rsidR="00081368" w:rsidRDefault="00081368" w:rsidP="00486B8B">
      <w:pPr>
        <w:spacing w:after="0" w:line="240" w:lineRule="auto"/>
      </w:pPr>
      <w:r>
        <w:continuationSeparator/>
      </w:r>
    </w:p>
  </w:endnote>
  <w:endnote w:type="continuationNotice" w:id="1">
    <w:p w14:paraId="233B4DB1" w14:textId="77777777" w:rsidR="00081368" w:rsidRDefault="00081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F967" w14:textId="77777777" w:rsidR="00081368" w:rsidRDefault="00081368" w:rsidP="00486B8B">
      <w:pPr>
        <w:spacing w:after="0" w:line="240" w:lineRule="auto"/>
      </w:pPr>
      <w:r>
        <w:separator/>
      </w:r>
    </w:p>
  </w:footnote>
  <w:footnote w:type="continuationSeparator" w:id="0">
    <w:p w14:paraId="109F7003" w14:textId="77777777" w:rsidR="00081368" w:rsidRDefault="00081368" w:rsidP="00486B8B">
      <w:pPr>
        <w:spacing w:after="0" w:line="240" w:lineRule="auto"/>
      </w:pPr>
      <w:r>
        <w:continuationSeparator/>
      </w:r>
    </w:p>
  </w:footnote>
  <w:footnote w:type="continuationNotice" w:id="1">
    <w:p w14:paraId="3743B524" w14:textId="77777777" w:rsidR="00081368" w:rsidRDefault="00081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5EB1" w14:textId="4865221F" w:rsidR="00FC53E0" w:rsidRDefault="00FC53E0" w:rsidP="00FC53E0">
    <w:pPr>
      <w:pStyle w:val="Header"/>
    </w:pPr>
    <w:r>
      <w:rPr>
        <w:noProof/>
      </w:rPr>
      <w:drawing>
        <wp:anchor distT="0" distB="0" distL="114300" distR="114300" simplePos="0" relativeHeight="251658240" behindDoc="0" locked="0" layoutInCell="1" allowOverlap="1" wp14:anchorId="77F4FA6B" wp14:editId="0C37CA85">
          <wp:simplePos x="0" y="0"/>
          <wp:positionH relativeFrom="margin">
            <wp:align>right</wp:align>
          </wp:positionH>
          <wp:positionV relativeFrom="paragraph">
            <wp:posOffset>347980</wp:posOffset>
          </wp:positionV>
          <wp:extent cx="5937885" cy="52705"/>
          <wp:effectExtent l="0" t="0" r="571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37885" cy="52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360F64E" wp14:editId="49D5EBB2">
          <wp:simplePos x="0" y="0"/>
          <wp:positionH relativeFrom="margin">
            <wp:align>right</wp:align>
          </wp:positionH>
          <wp:positionV relativeFrom="paragraph">
            <wp:posOffset>-184254</wp:posOffset>
          </wp:positionV>
          <wp:extent cx="942975" cy="325120"/>
          <wp:effectExtent l="0" t="0" r="9525"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325120"/>
                  </a:xfrm>
                  <a:prstGeom prst="rect">
                    <a:avLst/>
                  </a:prstGeom>
                </pic:spPr>
              </pic:pic>
            </a:graphicData>
          </a:graphic>
          <wp14:sizeRelH relativeFrom="margin">
            <wp14:pctWidth>0</wp14:pctWidth>
          </wp14:sizeRelH>
          <wp14:sizeRelV relativeFrom="margin">
            <wp14:pctHeight>0</wp14:pctHeight>
          </wp14:sizeRelV>
        </wp:anchor>
      </w:drawing>
    </w:r>
  </w:p>
  <w:p w14:paraId="78873FD8" w14:textId="0D3F1714" w:rsidR="001C527A" w:rsidRDefault="001C527A">
    <w:pPr>
      <w:pStyle w:val="Header"/>
    </w:pPr>
  </w:p>
  <w:p w14:paraId="71BB488A" w14:textId="77777777" w:rsidR="001C527A" w:rsidRDefault="001C52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F3bKkus" int2:invalidationBookmarkName="" int2:hashCode="ZD4DPyxyvbq3AT" int2:id="vZOEgUop">
      <int2:state int2:value="Rejected" int2:type="AugLoop_Text_Critique"/>
    </int2:bookmark>
    <int2:bookmark int2:bookmarkName="_Int_51LC64VB" int2:invalidationBookmarkName="" int2:hashCode="3KKjJeR/dxf+gy" int2:id="oEG59x4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A44D53"/>
    <w:rsid w:val="00004B21"/>
    <w:rsid w:val="000059BC"/>
    <w:rsid w:val="00022C39"/>
    <w:rsid w:val="00045291"/>
    <w:rsid w:val="000542F2"/>
    <w:rsid w:val="0007152B"/>
    <w:rsid w:val="00071A59"/>
    <w:rsid w:val="00073D4A"/>
    <w:rsid w:val="00081368"/>
    <w:rsid w:val="00082E78"/>
    <w:rsid w:val="000941DA"/>
    <w:rsid w:val="000A2737"/>
    <w:rsid w:val="000A56E4"/>
    <w:rsid w:val="000B32DC"/>
    <w:rsid w:val="000F1E0F"/>
    <w:rsid w:val="000F62B4"/>
    <w:rsid w:val="0014297F"/>
    <w:rsid w:val="00150624"/>
    <w:rsid w:val="001545B4"/>
    <w:rsid w:val="00171035"/>
    <w:rsid w:val="00181871"/>
    <w:rsid w:val="00192D8D"/>
    <w:rsid w:val="001C527A"/>
    <w:rsid w:val="001D6D7B"/>
    <w:rsid w:val="00240F0C"/>
    <w:rsid w:val="00264399"/>
    <w:rsid w:val="00282BEC"/>
    <w:rsid w:val="002A5871"/>
    <w:rsid w:val="002F1388"/>
    <w:rsid w:val="002F5711"/>
    <w:rsid w:val="003072D1"/>
    <w:rsid w:val="003356D8"/>
    <w:rsid w:val="00356B3C"/>
    <w:rsid w:val="00391F64"/>
    <w:rsid w:val="00392AD2"/>
    <w:rsid w:val="003A6650"/>
    <w:rsid w:val="003E57F6"/>
    <w:rsid w:val="003F02A3"/>
    <w:rsid w:val="003F2607"/>
    <w:rsid w:val="004237E5"/>
    <w:rsid w:val="004537D8"/>
    <w:rsid w:val="004867B8"/>
    <w:rsid w:val="00486B8B"/>
    <w:rsid w:val="0048711E"/>
    <w:rsid w:val="004B2B6F"/>
    <w:rsid w:val="004C216E"/>
    <w:rsid w:val="004C7C0D"/>
    <w:rsid w:val="004D0BC0"/>
    <w:rsid w:val="004D7884"/>
    <w:rsid w:val="005054DA"/>
    <w:rsid w:val="00517734"/>
    <w:rsid w:val="00541F49"/>
    <w:rsid w:val="00542C82"/>
    <w:rsid w:val="00563668"/>
    <w:rsid w:val="00590D3F"/>
    <w:rsid w:val="005A04D8"/>
    <w:rsid w:val="005B1009"/>
    <w:rsid w:val="005C09AA"/>
    <w:rsid w:val="005D171B"/>
    <w:rsid w:val="005E4621"/>
    <w:rsid w:val="005E761B"/>
    <w:rsid w:val="005F2D98"/>
    <w:rsid w:val="005F7BF0"/>
    <w:rsid w:val="0061250E"/>
    <w:rsid w:val="00621494"/>
    <w:rsid w:val="006352F4"/>
    <w:rsid w:val="00636D5F"/>
    <w:rsid w:val="00695AB4"/>
    <w:rsid w:val="006A68C1"/>
    <w:rsid w:val="006A6AC7"/>
    <w:rsid w:val="006E3768"/>
    <w:rsid w:val="006F6269"/>
    <w:rsid w:val="007173D6"/>
    <w:rsid w:val="00727104"/>
    <w:rsid w:val="0072736D"/>
    <w:rsid w:val="0073101A"/>
    <w:rsid w:val="00741C34"/>
    <w:rsid w:val="0077127D"/>
    <w:rsid w:val="00773D03"/>
    <w:rsid w:val="0078200B"/>
    <w:rsid w:val="00794725"/>
    <w:rsid w:val="007A06C4"/>
    <w:rsid w:val="007A6F55"/>
    <w:rsid w:val="007B4410"/>
    <w:rsid w:val="007B57DB"/>
    <w:rsid w:val="007C194D"/>
    <w:rsid w:val="007C2CBF"/>
    <w:rsid w:val="007E6187"/>
    <w:rsid w:val="008137DC"/>
    <w:rsid w:val="00826BB9"/>
    <w:rsid w:val="00855271"/>
    <w:rsid w:val="008566E4"/>
    <w:rsid w:val="00875989"/>
    <w:rsid w:val="008E0A08"/>
    <w:rsid w:val="008E5984"/>
    <w:rsid w:val="00916451"/>
    <w:rsid w:val="00923C5B"/>
    <w:rsid w:val="00926EDF"/>
    <w:rsid w:val="00965DA5"/>
    <w:rsid w:val="00974FBB"/>
    <w:rsid w:val="00975CD8"/>
    <w:rsid w:val="00992D3C"/>
    <w:rsid w:val="00993F00"/>
    <w:rsid w:val="009A187D"/>
    <w:rsid w:val="009C7F5F"/>
    <w:rsid w:val="009D23F4"/>
    <w:rsid w:val="009D42C1"/>
    <w:rsid w:val="00A028F2"/>
    <w:rsid w:val="00A50FD5"/>
    <w:rsid w:val="00A56C13"/>
    <w:rsid w:val="00A7003D"/>
    <w:rsid w:val="00A734BF"/>
    <w:rsid w:val="00A9238B"/>
    <w:rsid w:val="00AA0B5B"/>
    <w:rsid w:val="00AA4BAD"/>
    <w:rsid w:val="00AB6ACB"/>
    <w:rsid w:val="00AB736D"/>
    <w:rsid w:val="00AD5B90"/>
    <w:rsid w:val="00AD734C"/>
    <w:rsid w:val="00AE4155"/>
    <w:rsid w:val="00B072E5"/>
    <w:rsid w:val="00B23E54"/>
    <w:rsid w:val="00B5112C"/>
    <w:rsid w:val="00B54929"/>
    <w:rsid w:val="00B552C8"/>
    <w:rsid w:val="00B75E3D"/>
    <w:rsid w:val="00B77EB9"/>
    <w:rsid w:val="00B81378"/>
    <w:rsid w:val="00BD0E90"/>
    <w:rsid w:val="00BD3259"/>
    <w:rsid w:val="00BE0818"/>
    <w:rsid w:val="00BF5B58"/>
    <w:rsid w:val="00C21C05"/>
    <w:rsid w:val="00C24E81"/>
    <w:rsid w:val="00C56329"/>
    <w:rsid w:val="00C81148"/>
    <w:rsid w:val="00C87350"/>
    <w:rsid w:val="00C91279"/>
    <w:rsid w:val="00CC2BB2"/>
    <w:rsid w:val="00CD61C9"/>
    <w:rsid w:val="00CF0CE0"/>
    <w:rsid w:val="00D1578F"/>
    <w:rsid w:val="00D31E62"/>
    <w:rsid w:val="00D34DCB"/>
    <w:rsid w:val="00D35DC1"/>
    <w:rsid w:val="00D426FD"/>
    <w:rsid w:val="00D53FD5"/>
    <w:rsid w:val="00D5562A"/>
    <w:rsid w:val="00DC314B"/>
    <w:rsid w:val="00DD48F6"/>
    <w:rsid w:val="00DE2990"/>
    <w:rsid w:val="00DF5E6D"/>
    <w:rsid w:val="00E2D01B"/>
    <w:rsid w:val="00E34975"/>
    <w:rsid w:val="00E4715E"/>
    <w:rsid w:val="00E47C42"/>
    <w:rsid w:val="00E649F1"/>
    <w:rsid w:val="00E84702"/>
    <w:rsid w:val="00EC6C92"/>
    <w:rsid w:val="00F104B5"/>
    <w:rsid w:val="00F16873"/>
    <w:rsid w:val="00F43984"/>
    <w:rsid w:val="00F46097"/>
    <w:rsid w:val="00F73F68"/>
    <w:rsid w:val="00F93FEB"/>
    <w:rsid w:val="00FA18EB"/>
    <w:rsid w:val="00FB5EF3"/>
    <w:rsid w:val="00FC53E0"/>
    <w:rsid w:val="00FE4F42"/>
    <w:rsid w:val="03C14589"/>
    <w:rsid w:val="043BBEF8"/>
    <w:rsid w:val="05399CC0"/>
    <w:rsid w:val="061015BC"/>
    <w:rsid w:val="0CDD23A3"/>
    <w:rsid w:val="0E3D3178"/>
    <w:rsid w:val="0F4363AF"/>
    <w:rsid w:val="0FAB4393"/>
    <w:rsid w:val="0FD4D971"/>
    <w:rsid w:val="11112685"/>
    <w:rsid w:val="111D3A93"/>
    <w:rsid w:val="11948A8D"/>
    <w:rsid w:val="1235760A"/>
    <w:rsid w:val="18963F3E"/>
    <w:rsid w:val="18B19AFC"/>
    <w:rsid w:val="1934578A"/>
    <w:rsid w:val="1A4E985D"/>
    <w:rsid w:val="1ED35F9E"/>
    <w:rsid w:val="2064B2C3"/>
    <w:rsid w:val="211F2AF3"/>
    <w:rsid w:val="2133AC10"/>
    <w:rsid w:val="21A423DE"/>
    <w:rsid w:val="22F04113"/>
    <w:rsid w:val="23D7F5C6"/>
    <w:rsid w:val="2B75ACA2"/>
    <w:rsid w:val="2BA2FD2D"/>
    <w:rsid w:val="2E8EF0EC"/>
    <w:rsid w:val="317D3E3F"/>
    <w:rsid w:val="369A92C2"/>
    <w:rsid w:val="393B39D9"/>
    <w:rsid w:val="3970FFE1"/>
    <w:rsid w:val="3DE50DDB"/>
    <w:rsid w:val="3F56672D"/>
    <w:rsid w:val="4296DCE2"/>
    <w:rsid w:val="42CFE42E"/>
    <w:rsid w:val="431C6301"/>
    <w:rsid w:val="44A9BB12"/>
    <w:rsid w:val="4755D46A"/>
    <w:rsid w:val="4786FC29"/>
    <w:rsid w:val="47A44D53"/>
    <w:rsid w:val="48C3A562"/>
    <w:rsid w:val="50A9B20D"/>
    <w:rsid w:val="5404E324"/>
    <w:rsid w:val="54CF5446"/>
    <w:rsid w:val="56707B87"/>
    <w:rsid w:val="5F9DF658"/>
    <w:rsid w:val="6727475A"/>
    <w:rsid w:val="686FE46C"/>
    <w:rsid w:val="691E38A9"/>
    <w:rsid w:val="69A305A5"/>
    <w:rsid w:val="6AA7EA71"/>
    <w:rsid w:val="6C9BADD7"/>
    <w:rsid w:val="6D1C9177"/>
    <w:rsid w:val="70237E09"/>
    <w:rsid w:val="703246F4"/>
    <w:rsid w:val="7410C584"/>
    <w:rsid w:val="75F7E4CE"/>
    <w:rsid w:val="7A3FCDC9"/>
    <w:rsid w:val="7A95E43A"/>
    <w:rsid w:val="7B137CA8"/>
    <w:rsid w:val="7B6EAA8F"/>
    <w:rsid w:val="7B80B21E"/>
    <w:rsid w:val="7BCA46E9"/>
    <w:rsid w:val="7D1F1821"/>
    <w:rsid w:val="7D81CB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D53"/>
  <w15:chartTrackingRefBased/>
  <w15:docId w15:val="{980F49BC-FBE8-4D15-B917-0E8052E0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3F00"/>
  </w:style>
  <w:style w:type="character" w:customStyle="1" w:styleId="eop">
    <w:name w:val="eop"/>
    <w:basedOn w:val="DefaultParagraphFont"/>
    <w:rsid w:val="00993F00"/>
  </w:style>
  <w:style w:type="paragraph" w:styleId="Header">
    <w:name w:val="header"/>
    <w:basedOn w:val="Normal"/>
    <w:link w:val="HeaderChar"/>
    <w:uiPriority w:val="99"/>
    <w:unhideWhenUsed/>
    <w:rsid w:val="004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8B"/>
  </w:style>
  <w:style w:type="paragraph" w:styleId="Footer">
    <w:name w:val="footer"/>
    <w:basedOn w:val="Normal"/>
    <w:link w:val="FooterChar"/>
    <w:uiPriority w:val="99"/>
    <w:unhideWhenUsed/>
    <w:rsid w:val="004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8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237E5"/>
    <w:rPr>
      <w:sz w:val="16"/>
      <w:szCs w:val="16"/>
    </w:rPr>
  </w:style>
  <w:style w:type="paragraph" w:styleId="CommentText">
    <w:name w:val="annotation text"/>
    <w:basedOn w:val="Normal"/>
    <w:link w:val="CommentTextChar"/>
    <w:uiPriority w:val="99"/>
    <w:semiHidden/>
    <w:unhideWhenUsed/>
    <w:rsid w:val="004237E5"/>
    <w:pPr>
      <w:spacing w:line="240" w:lineRule="auto"/>
    </w:pPr>
    <w:rPr>
      <w:sz w:val="20"/>
      <w:szCs w:val="20"/>
    </w:rPr>
  </w:style>
  <w:style w:type="character" w:customStyle="1" w:styleId="CommentTextChar">
    <w:name w:val="Comment Text Char"/>
    <w:basedOn w:val="DefaultParagraphFont"/>
    <w:link w:val="CommentText"/>
    <w:uiPriority w:val="99"/>
    <w:semiHidden/>
    <w:rsid w:val="004237E5"/>
    <w:rPr>
      <w:sz w:val="20"/>
      <w:szCs w:val="20"/>
    </w:rPr>
  </w:style>
  <w:style w:type="paragraph" w:styleId="CommentSubject">
    <w:name w:val="annotation subject"/>
    <w:basedOn w:val="CommentText"/>
    <w:next w:val="CommentText"/>
    <w:link w:val="CommentSubjectChar"/>
    <w:uiPriority w:val="99"/>
    <w:semiHidden/>
    <w:unhideWhenUsed/>
    <w:rsid w:val="004237E5"/>
    <w:rPr>
      <w:b/>
      <w:bCs/>
    </w:rPr>
  </w:style>
  <w:style w:type="character" w:customStyle="1" w:styleId="CommentSubjectChar">
    <w:name w:val="Comment Subject Char"/>
    <w:basedOn w:val="CommentTextChar"/>
    <w:link w:val="CommentSubject"/>
    <w:uiPriority w:val="99"/>
    <w:semiHidden/>
    <w:rsid w:val="004237E5"/>
    <w:rPr>
      <w:b/>
      <w:bCs/>
      <w:sz w:val="20"/>
      <w:szCs w:val="20"/>
    </w:rPr>
  </w:style>
  <w:style w:type="paragraph" w:styleId="Revision">
    <w:name w:val="Revision"/>
    <w:hidden/>
    <w:uiPriority w:val="99"/>
    <w:semiHidden/>
    <w:rsid w:val="0042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224">
      <w:bodyDiv w:val="1"/>
      <w:marLeft w:val="0"/>
      <w:marRight w:val="0"/>
      <w:marTop w:val="0"/>
      <w:marBottom w:val="0"/>
      <w:divBdr>
        <w:top w:val="none" w:sz="0" w:space="0" w:color="auto"/>
        <w:left w:val="none" w:sz="0" w:space="0" w:color="auto"/>
        <w:bottom w:val="none" w:sz="0" w:space="0" w:color="auto"/>
        <w:right w:val="none" w:sz="0" w:space="0" w:color="auto"/>
      </w:divBdr>
    </w:div>
    <w:div w:id="205945415">
      <w:bodyDiv w:val="1"/>
      <w:marLeft w:val="0"/>
      <w:marRight w:val="0"/>
      <w:marTop w:val="0"/>
      <w:marBottom w:val="0"/>
      <w:divBdr>
        <w:top w:val="none" w:sz="0" w:space="0" w:color="auto"/>
        <w:left w:val="none" w:sz="0" w:space="0" w:color="auto"/>
        <w:bottom w:val="none" w:sz="0" w:space="0" w:color="auto"/>
        <w:right w:val="none" w:sz="0" w:space="0" w:color="auto"/>
      </w:divBdr>
    </w:div>
    <w:div w:id="275254646">
      <w:bodyDiv w:val="1"/>
      <w:marLeft w:val="0"/>
      <w:marRight w:val="0"/>
      <w:marTop w:val="0"/>
      <w:marBottom w:val="0"/>
      <w:divBdr>
        <w:top w:val="none" w:sz="0" w:space="0" w:color="auto"/>
        <w:left w:val="none" w:sz="0" w:space="0" w:color="auto"/>
        <w:bottom w:val="none" w:sz="0" w:space="0" w:color="auto"/>
        <w:right w:val="none" w:sz="0" w:space="0" w:color="auto"/>
      </w:divBdr>
    </w:div>
    <w:div w:id="434130263">
      <w:bodyDiv w:val="1"/>
      <w:marLeft w:val="0"/>
      <w:marRight w:val="0"/>
      <w:marTop w:val="0"/>
      <w:marBottom w:val="0"/>
      <w:divBdr>
        <w:top w:val="none" w:sz="0" w:space="0" w:color="auto"/>
        <w:left w:val="none" w:sz="0" w:space="0" w:color="auto"/>
        <w:bottom w:val="none" w:sz="0" w:space="0" w:color="auto"/>
        <w:right w:val="none" w:sz="0" w:space="0" w:color="auto"/>
      </w:divBdr>
    </w:div>
    <w:div w:id="662658506">
      <w:bodyDiv w:val="1"/>
      <w:marLeft w:val="0"/>
      <w:marRight w:val="0"/>
      <w:marTop w:val="0"/>
      <w:marBottom w:val="0"/>
      <w:divBdr>
        <w:top w:val="none" w:sz="0" w:space="0" w:color="auto"/>
        <w:left w:val="none" w:sz="0" w:space="0" w:color="auto"/>
        <w:bottom w:val="none" w:sz="0" w:space="0" w:color="auto"/>
        <w:right w:val="none" w:sz="0" w:space="0" w:color="auto"/>
      </w:divBdr>
    </w:div>
    <w:div w:id="715660394">
      <w:bodyDiv w:val="1"/>
      <w:marLeft w:val="0"/>
      <w:marRight w:val="0"/>
      <w:marTop w:val="0"/>
      <w:marBottom w:val="0"/>
      <w:divBdr>
        <w:top w:val="none" w:sz="0" w:space="0" w:color="auto"/>
        <w:left w:val="none" w:sz="0" w:space="0" w:color="auto"/>
        <w:bottom w:val="none" w:sz="0" w:space="0" w:color="auto"/>
        <w:right w:val="none" w:sz="0" w:space="0" w:color="auto"/>
      </w:divBdr>
    </w:div>
    <w:div w:id="1388871501">
      <w:bodyDiv w:val="1"/>
      <w:marLeft w:val="0"/>
      <w:marRight w:val="0"/>
      <w:marTop w:val="0"/>
      <w:marBottom w:val="0"/>
      <w:divBdr>
        <w:top w:val="none" w:sz="0" w:space="0" w:color="auto"/>
        <w:left w:val="none" w:sz="0" w:space="0" w:color="auto"/>
        <w:bottom w:val="none" w:sz="0" w:space="0" w:color="auto"/>
        <w:right w:val="none" w:sz="0" w:space="0" w:color="auto"/>
      </w:divBdr>
    </w:div>
    <w:div w:id="19822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4e1cac-1d84-4d21-8a46-d8b75870a7bf">
      <UserInfo>
        <DisplayName>Raby, Samuel (CCI-Southeast)</DisplayName>
        <AccountId>946</AccountId>
        <AccountType/>
      </UserInfo>
      <UserInfo>
        <DisplayName>Cloud, Blaine C. (CCI-Atlanta)</DisplayName>
        <AccountId>31</AccountId>
        <AccountType/>
      </UserInfo>
      <UserInfo>
        <DisplayName>Segura, Sherri (CCI-Central Region)</DisplayName>
        <AccountId>33</AccountId>
        <AccountType/>
      </UserInfo>
      <UserInfo>
        <DisplayName>Kyzer, Madi (CCI-Atlanta)</DisplayName>
        <AccountId>435</AccountId>
        <AccountType/>
      </UserInfo>
      <UserInfo>
        <DisplayName>Dubovy, Lauren (CCI-Atlanta)</DisplayName>
        <AccountId>489</AccountId>
        <AccountType/>
      </UserInfo>
      <UserInfo>
        <DisplayName>Moran, Julie (CCI-Atlanta)</DisplayName>
        <AccountId>217</AccountId>
        <AccountType/>
      </UserInfo>
    </SharedWithUsers>
    <lcf76f155ced4ddcb4097134ff3c332f xmlns="718c5d3b-6d75-423b-8cc5-290ab770a18c">
      <Terms xmlns="http://schemas.microsoft.com/office/infopath/2007/PartnerControls"/>
    </lcf76f155ced4ddcb4097134ff3c332f>
    <TaxCatchAll xmlns="e03fe4b5-7e31-4e95-9f1e-090a03a70d21" xsi:nil="true"/>
  </documentManagement>
</p:properties>
</file>

<file path=customXml/itemProps1.xml><?xml version="1.0" encoding="utf-8"?>
<ds:datastoreItem xmlns:ds="http://schemas.openxmlformats.org/officeDocument/2006/customXml" ds:itemID="{16C3838E-A300-450B-AF31-8DAE4FAD23A8}">
  <ds:schemaRefs>
    <ds:schemaRef ds:uri="http://schemas.microsoft.com/sharepoint/v3/contenttype/forms"/>
  </ds:schemaRefs>
</ds:datastoreItem>
</file>

<file path=customXml/itemProps2.xml><?xml version="1.0" encoding="utf-8"?>
<ds:datastoreItem xmlns:ds="http://schemas.openxmlformats.org/officeDocument/2006/customXml" ds:itemID="{05DD7D9C-B37B-D74B-9D49-AEBDEE7E24A8}">
  <ds:schemaRefs>
    <ds:schemaRef ds:uri="http://schemas.openxmlformats.org/officeDocument/2006/bibliography"/>
  </ds:schemaRefs>
</ds:datastoreItem>
</file>

<file path=customXml/itemProps3.xml><?xml version="1.0" encoding="utf-8"?>
<ds:datastoreItem xmlns:ds="http://schemas.openxmlformats.org/officeDocument/2006/customXml" ds:itemID="{038DF9EB-C1C1-4906-96C1-7E32F616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c5d3b-6d75-423b-8cc5-290ab770a18c"/>
    <ds:schemaRef ds:uri="c84e1cac-1d84-4d21-8a46-d8b75870a7bf"/>
    <ds:schemaRef ds:uri="e03fe4b5-7e31-4e95-9f1e-090a03a7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8F608-EEBB-4948-A960-A4A3301B9F00}">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84e1cac-1d84-4d21-8a46-d8b75870a7bf"/>
    <ds:schemaRef ds:uri="http://purl.org/dc/terms/"/>
    <ds:schemaRef ds:uri="http://www.w3.org/XML/1998/namespace"/>
    <ds:schemaRef ds:uri="718c5d3b-6d75-423b-8cc5-290ab770a18c"/>
    <ds:schemaRef ds:uri="http://schemas.microsoft.com/office/infopath/2007/PartnerControls"/>
    <ds:schemaRef ds:uri="e03fe4b5-7e31-4e95-9f1e-090a03a70d2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Craig (CCI-Atlanta)</dc:creator>
  <cp:keywords/>
  <dc:description/>
  <cp:lastModifiedBy>Curttright, Ashley (CCI-Central Region)</cp:lastModifiedBy>
  <cp:revision>20</cp:revision>
  <dcterms:created xsi:type="dcterms:W3CDTF">2023-07-05T14:21:00Z</dcterms:created>
  <dcterms:modified xsi:type="dcterms:W3CDTF">2023-10-02T14:20:00Z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0x01010037D5F5D80A453643B90DED5B338F33CF</vt:lpwstr>
  </property>
  <property fmtid="{D5CDD505-2E9C-101B-9397-08002B2CF9AE}" pid="3" name="MediaServiceImageTags">
    <vt:lpwstr/>
  </property>
  <property fmtid="{D5CDD505-2E9C-101B-9397-08002B2CF9AE}" pid="4" name="Order">
    <vt:r8>3075200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ColorHex">
    <vt:lpwstr/>
  </property>
  <property fmtid="{D5CDD505-2E9C-101B-9397-08002B2CF9AE}" pid="12" name="_Emoji">
    <vt:lpwstr/>
  </property>
  <property fmtid="{D5CDD505-2E9C-101B-9397-08002B2CF9AE}" pid="13" name="_ColorTag">
    <vt:lpwstr/>
  </property>
  <property fmtid="{D5CDD505-2E9C-101B-9397-08002B2CF9AE}" pid="14" name="GrammarlyDocumentId">
    <vt:lpwstr>946ccd25bf9a77bc43d6de7326cac4fce1a6ffc8c8b38f83a0dfb2affcdb35e9</vt:lpwstr>
  </property>
</Properties>
</file>