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792D2792" w:rsidR="0031234B" w:rsidRDefault="00A5314C" w:rsidP="0031234B">
      <w:r>
        <w:t>Valley</w:t>
      </w:r>
      <w:r w:rsidR="0031234B">
        <w:t xml:space="preserve"> NBBD Grant Application</w:t>
      </w:r>
    </w:p>
    <w:p w14:paraId="66AEC240" w14:textId="595EF521" w:rsidR="0031234B" w:rsidRDefault="0031234B"/>
    <w:p w14:paraId="2BED5DAB" w14:textId="77777777" w:rsidR="00D60DB0" w:rsidRDefault="00D60DB0" w:rsidP="00D60DB0"/>
    <w:tbl>
      <w:tblPr>
        <w:tblStyle w:val="TableGrid"/>
        <w:tblW w:w="0" w:type="auto"/>
        <w:tblInd w:w="108" w:type="dxa"/>
        <w:tblLook w:val="04A0" w:firstRow="1" w:lastRow="0" w:firstColumn="1" w:lastColumn="0" w:noHBand="0" w:noVBand="1"/>
      </w:tblPr>
      <w:tblGrid>
        <w:gridCol w:w="4287"/>
        <w:gridCol w:w="2030"/>
        <w:gridCol w:w="2925"/>
      </w:tblGrid>
      <w:tr w:rsidR="00D60DB0" w:rsidRPr="009A3E98" w14:paraId="7B030B5C" w14:textId="77777777" w:rsidTr="00AA51A3">
        <w:tc>
          <w:tcPr>
            <w:tcW w:w="4410" w:type="dxa"/>
          </w:tcPr>
          <w:p w14:paraId="4C2F3194" w14:textId="77777777" w:rsidR="00D60DB0" w:rsidRPr="009A3E98" w:rsidRDefault="00D60DB0" w:rsidP="00AA51A3">
            <w:pPr>
              <w:rPr>
                <w:b/>
                <w:bCs/>
              </w:rPr>
            </w:pPr>
            <w:r w:rsidRPr="009A3E98">
              <w:rPr>
                <w:b/>
                <w:bCs/>
              </w:rPr>
              <w:t>Matching Expenses</w:t>
            </w:r>
          </w:p>
        </w:tc>
        <w:tc>
          <w:tcPr>
            <w:tcW w:w="2070" w:type="dxa"/>
          </w:tcPr>
          <w:p w14:paraId="498DC70B" w14:textId="77777777" w:rsidR="00D60DB0" w:rsidRPr="009A3E98" w:rsidRDefault="00D60DB0" w:rsidP="00AA51A3">
            <w:pPr>
              <w:rPr>
                <w:b/>
                <w:bCs/>
              </w:rPr>
            </w:pPr>
            <w:r w:rsidRPr="009A3E98">
              <w:rPr>
                <w:b/>
                <w:bCs/>
              </w:rPr>
              <w:t>Matching Amount</w:t>
            </w:r>
          </w:p>
        </w:tc>
        <w:tc>
          <w:tcPr>
            <w:tcW w:w="2988" w:type="dxa"/>
          </w:tcPr>
          <w:p w14:paraId="5F19C763" w14:textId="52798557" w:rsidR="00D60DB0" w:rsidRPr="009A3E98" w:rsidRDefault="00D45EDC" w:rsidP="00AA51A3">
            <w:pPr>
              <w:rPr>
                <w:b/>
                <w:bCs/>
              </w:rPr>
            </w:pPr>
            <w:r>
              <w:rPr>
                <w:b/>
                <w:bCs/>
              </w:rPr>
              <w:t xml:space="preserve">CenturyLink QC </w:t>
            </w:r>
            <w:r w:rsidR="00D60DB0" w:rsidRPr="009A3E98">
              <w:rPr>
                <w:b/>
                <w:bCs/>
              </w:rPr>
              <w:t>Funding Commitment date</w:t>
            </w:r>
          </w:p>
        </w:tc>
      </w:tr>
      <w:tr w:rsidR="00D60DB0" w14:paraId="788C4977" w14:textId="77777777" w:rsidTr="00AA51A3">
        <w:tc>
          <w:tcPr>
            <w:tcW w:w="4410" w:type="dxa"/>
          </w:tcPr>
          <w:p w14:paraId="3ED7C5ED" w14:textId="77777777" w:rsidR="00D60DB0" w:rsidRDefault="00D60DB0" w:rsidP="00AA51A3">
            <w:r>
              <w:t>Contracted professional services-estimated</w:t>
            </w:r>
          </w:p>
        </w:tc>
        <w:tc>
          <w:tcPr>
            <w:tcW w:w="2070" w:type="dxa"/>
          </w:tcPr>
          <w:p w14:paraId="76D0F886" w14:textId="4B2A6ECA" w:rsidR="00D60DB0" w:rsidRDefault="00D60DB0" w:rsidP="00AA51A3">
            <w:r>
              <w:t xml:space="preserve">$   </w:t>
            </w:r>
            <w:r w:rsidR="00775343">
              <w:t xml:space="preserve">  7,500</w:t>
            </w:r>
          </w:p>
        </w:tc>
        <w:tc>
          <w:tcPr>
            <w:tcW w:w="2988" w:type="dxa"/>
          </w:tcPr>
          <w:p w14:paraId="49DB2E4E" w14:textId="77777777" w:rsidR="00D60DB0" w:rsidRDefault="00D60DB0" w:rsidP="00AA51A3">
            <w:r>
              <w:t>Upon grant approval</w:t>
            </w:r>
          </w:p>
        </w:tc>
      </w:tr>
      <w:tr w:rsidR="00D60DB0" w14:paraId="5F3BF3F9" w14:textId="77777777" w:rsidTr="00AA51A3">
        <w:tc>
          <w:tcPr>
            <w:tcW w:w="4410" w:type="dxa"/>
          </w:tcPr>
          <w:p w14:paraId="38EB3FFC" w14:textId="625F8B4F" w:rsidR="00D60DB0" w:rsidRDefault="00D60DB0" w:rsidP="00AA51A3">
            <w:r>
              <w:t>Employee professional services-estimated</w:t>
            </w:r>
            <w:r w:rsidR="006F0855">
              <w:rPr>
                <w:rStyle w:val="FootnoteReference"/>
              </w:rPr>
              <w:footnoteReference w:id="1"/>
            </w:r>
          </w:p>
        </w:tc>
        <w:tc>
          <w:tcPr>
            <w:tcW w:w="2070" w:type="dxa"/>
          </w:tcPr>
          <w:p w14:paraId="340273CD" w14:textId="50944A86" w:rsidR="00D60DB0" w:rsidRDefault="00D60DB0" w:rsidP="00AA51A3">
            <w:r>
              <w:t xml:space="preserve">$   </w:t>
            </w:r>
            <w:r w:rsidR="00775343">
              <w:t>1</w:t>
            </w:r>
            <w:r w:rsidR="00BB3679">
              <w:t>3</w:t>
            </w:r>
            <w:r w:rsidR="00431274">
              <w:t>,000</w:t>
            </w:r>
          </w:p>
        </w:tc>
        <w:tc>
          <w:tcPr>
            <w:tcW w:w="2988" w:type="dxa"/>
          </w:tcPr>
          <w:p w14:paraId="5D213D5D" w14:textId="77777777" w:rsidR="00D60DB0" w:rsidRDefault="00D60DB0" w:rsidP="00AA51A3">
            <w:r>
              <w:t>Upon grant approval</w:t>
            </w:r>
          </w:p>
        </w:tc>
      </w:tr>
      <w:tr w:rsidR="00D60DB0" w14:paraId="1A32E7F8" w14:textId="77777777" w:rsidTr="00AA51A3">
        <w:tc>
          <w:tcPr>
            <w:tcW w:w="4410" w:type="dxa"/>
          </w:tcPr>
          <w:p w14:paraId="1A0B7379" w14:textId="77777777" w:rsidR="00D60DB0" w:rsidRDefault="00D60DB0" w:rsidP="00AA51A3">
            <w:r>
              <w:t>Electronic Components – estimated</w:t>
            </w:r>
          </w:p>
        </w:tc>
        <w:tc>
          <w:tcPr>
            <w:tcW w:w="2070" w:type="dxa"/>
          </w:tcPr>
          <w:p w14:paraId="44599E88" w14:textId="7D9DD428" w:rsidR="00D60DB0" w:rsidRDefault="00D60DB0" w:rsidP="00AA51A3">
            <w:r>
              <w:t xml:space="preserve">$     </w:t>
            </w:r>
            <w:r w:rsidR="00F0379A">
              <w:t xml:space="preserve">        </w:t>
            </w:r>
            <w:r>
              <w:t>0</w:t>
            </w:r>
          </w:p>
        </w:tc>
        <w:tc>
          <w:tcPr>
            <w:tcW w:w="2988" w:type="dxa"/>
          </w:tcPr>
          <w:p w14:paraId="3D239C60" w14:textId="77777777" w:rsidR="00D60DB0" w:rsidRDefault="00D60DB0" w:rsidP="00AA51A3">
            <w:r>
              <w:t>Upon grant approval</w:t>
            </w:r>
          </w:p>
        </w:tc>
      </w:tr>
      <w:tr w:rsidR="00D60DB0" w14:paraId="579D8369" w14:textId="77777777" w:rsidTr="00AA51A3">
        <w:tc>
          <w:tcPr>
            <w:tcW w:w="4410" w:type="dxa"/>
          </w:tcPr>
          <w:p w14:paraId="2DF9C772" w14:textId="77777777" w:rsidR="00D60DB0" w:rsidRDefault="00D60DB0" w:rsidP="00AA51A3">
            <w:r>
              <w:t>Construction costs – estimated</w:t>
            </w:r>
          </w:p>
        </w:tc>
        <w:tc>
          <w:tcPr>
            <w:tcW w:w="2070" w:type="dxa"/>
          </w:tcPr>
          <w:p w14:paraId="62653CA6" w14:textId="326CE8D8" w:rsidR="00D60DB0" w:rsidRDefault="00D60DB0" w:rsidP="00AA51A3">
            <w:r>
              <w:t>$</w:t>
            </w:r>
            <w:r w:rsidR="00F0379A">
              <w:t xml:space="preserve"> </w:t>
            </w:r>
            <w:r w:rsidR="00003D68">
              <w:t xml:space="preserve">  5</w:t>
            </w:r>
            <w:r w:rsidR="00F0379A">
              <w:t>5,000</w:t>
            </w:r>
          </w:p>
        </w:tc>
        <w:tc>
          <w:tcPr>
            <w:tcW w:w="2988" w:type="dxa"/>
          </w:tcPr>
          <w:p w14:paraId="60D49D25" w14:textId="77777777" w:rsidR="00D60DB0" w:rsidRDefault="00D60DB0" w:rsidP="00AA51A3">
            <w:r>
              <w:t>Upon grant approval</w:t>
            </w:r>
          </w:p>
        </w:tc>
      </w:tr>
      <w:tr w:rsidR="00D60DB0" w14:paraId="79678D88" w14:textId="77777777" w:rsidTr="00AA51A3">
        <w:tc>
          <w:tcPr>
            <w:tcW w:w="4410" w:type="dxa"/>
          </w:tcPr>
          <w:p w14:paraId="50C72D5C" w14:textId="77777777" w:rsidR="00D60DB0" w:rsidRDefault="00D60DB0" w:rsidP="00AA51A3">
            <w:r>
              <w:t>Total Match Funding</w:t>
            </w:r>
          </w:p>
        </w:tc>
        <w:tc>
          <w:tcPr>
            <w:tcW w:w="2070" w:type="dxa"/>
          </w:tcPr>
          <w:p w14:paraId="0423F093" w14:textId="3A246EB1" w:rsidR="00D60DB0" w:rsidRDefault="00D60DB0" w:rsidP="00AA51A3">
            <w:r>
              <w:t>$</w:t>
            </w:r>
            <w:r w:rsidR="000924CB">
              <w:t xml:space="preserve"> </w:t>
            </w:r>
            <w:r w:rsidR="00C14B3A">
              <w:t xml:space="preserve">  7</w:t>
            </w:r>
            <w:r w:rsidR="00E556E0">
              <w:t>5</w:t>
            </w:r>
            <w:r w:rsidR="000924CB">
              <w:t>,500</w:t>
            </w:r>
          </w:p>
        </w:tc>
        <w:tc>
          <w:tcPr>
            <w:tcW w:w="2988" w:type="dxa"/>
          </w:tcPr>
          <w:p w14:paraId="71D0FC2F" w14:textId="77777777" w:rsidR="00D60DB0" w:rsidRDefault="00D60DB0" w:rsidP="00AA51A3"/>
        </w:tc>
      </w:tr>
    </w:tbl>
    <w:p w14:paraId="14ADA15B" w14:textId="77777777" w:rsidR="00D60DB0" w:rsidRDefault="00D60DB0" w:rsidP="00D60DB0"/>
    <w:p w14:paraId="6413D8C7" w14:textId="77777777" w:rsidR="00D60DB0" w:rsidRPr="002F3129" w:rsidRDefault="00D60DB0" w:rsidP="00D60DB0">
      <w:pPr>
        <w:shd w:val="clear" w:color="auto" w:fill="FFFFFF"/>
        <w:spacing w:after="0" w:line="240" w:lineRule="auto"/>
        <w:rPr>
          <w:rFonts w:eastAsia="Calibri" w:cstheme="minorHAnsi"/>
          <w:sz w:val="20"/>
          <w:szCs w:val="20"/>
        </w:rPr>
      </w:pPr>
      <w:r>
        <w:rPr>
          <w:rFonts w:cstheme="minorHAnsi"/>
          <w:sz w:val="20"/>
          <w:szCs w:val="20"/>
        </w:rPr>
        <w:t>CenturyLink QC</w:t>
      </w:r>
      <w:r w:rsidRPr="002F3129">
        <w:rPr>
          <w:rFonts w:cstheme="minorHAnsi"/>
          <w:sz w:val="20"/>
          <w:szCs w:val="20"/>
        </w:rPr>
        <w:t xml:space="preserve"> will fund its portion of the grant from internal working capital, as part of </w:t>
      </w:r>
      <w:r>
        <w:rPr>
          <w:rFonts w:cstheme="minorHAnsi"/>
          <w:sz w:val="20"/>
          <w:szCs w:val="20"/>
        </w:rPr>
        <w:t xml:space="preserve">the Lumen </w:t>
      </w:r>
      <w:r w:rsidRPr="002F3129">
        <w:rPr>
          <w:rFonts w:cstheme="minorHAnsi"/>
          <w:sz w:val="20"/>
          <w:szCs w:val="20"/>
        </w:rPr>
        <w:t>$3 billion in annual capital expenditures.</w:t>
      </w:r>
      <w:r>
        <w:rPr>
          <w:rFonts w:cstheme="minorHAnsi"/>
          <w:sz w:val="20"/>
          <w:szCs w:val="20"/>
        </w:rPr>
        <w:t xml:space="preserve">  </w:t>
      </w:r>
      <w:r w:rsidRPr="002F3129">
        <w:rPr>
          <w:rFonts w:eastAsia="Calibri" w:cstheme="minorHAnsi"/>
          <w:color w:val="212121"/>
          <w:sz w:val="20"/>
          <w:szCs w:val="20"/>
        </w:rPr>
        <w:t xml:space="preserve">The </w:t>
      </w:r>
      <w:r>
        <w:rPr>
          <w:rFonts w:eastAsia="Calibri" w:cstheme="minorHAnsi"/>
          <w:color w:val="212121"/>
          <w:sz w:val="20"/>
          <w:szCs w:val="20"/>
        </w:rPr>
        <w:t xml:space="preserve">total </w:t>
      </w:r>
      <w:r w:rsidRPr="002F3129">
        <w:rPr>
          <w:rFonts w:eastAsia="Calibri" w:cstheme="minorHAnsi"/>
          <w:color w:val="212121"/>
          <w:sz w:val="20"/>
          <w:szCs w:val="20"/>
        </w:rPr>
        <w:t>grant match amounts to less than .</w:t>
      </w:r>
      <w:r>
        <w:rPr>
          <w:rFonts w:eastAsia="Calibri" w:cstheme="minorHAnsi"/>
          <w:color w:val="212121"/>
          <w:sz w:val="20"/>
          <w:szCs w:val="20"/>
        </w:rPr>
        <w:t>1</w:t>
      </w:r>
      <w:r w:rsidRPr="002F3129">
        <w:rPr>
          <w:rFonts w:eastAsia="Calibri" w:cstheme="minorHAnsi"/>
          <w:color w:val="212121"/>
          <w:sz w:val="20"/>
          <w:szCs w:val="20"/>
        </w:rPr>
        <w:t>% of the company’s annual capital expenditures.</w:t>
      </w:r>
      <w:r>
        <w:rPr>
          <w:rFonts w:eastAsia="Calibri" w:cstheme="minorHAnsi"/>
          <w:color w:val="212121"/>
          <w:sz w:val="20"/>
          <w:szCs w:val="20"/>
        </w:rPr>
        <w:t xml:space="preserve">  Lumen routinely completes grants much larger than this project without special accounts.</w:t>
      </w:r>
    </w:p>
    <w:p w14:paraId="68703763" w14:textId="77777777" w:rsidR="00D60DB0" w:rsidRDefault="00D60DB0" w:rsidP="00D60DB0">
      <w:r w:rsidRPr="002F3129">
        <w:rPr>
          <w:rFonts w:cstheme="minorHAnsi"/>
          <w:sz w:val="20"/>
          <w:szCs w:val="20"/>
        </w:rPr>
        <w:t>Lumen is one of the largest corporations in the United States and has committed to Wall Street that it will spend more than $3 billion in capital expenditures during 2022 and plans to continue that level of spending in future years as it expands its fiber-to-the-premise network from 2.8 million locations to more than 12 million over the next few years.</w:t>
      </w:r>
      <w:r>
        <w:rPr>
          <w:rFonts w:cstheme="minorHAnsi"/>
          <w:sz w:val="20"/>
          <w:szCs w:val="20"/>
        </w:rPr>
        <w:t xml:space="preserve">  CenturyLink QC employs engineers and construction managers that develop, </w:t>
      </w:r>
      <w:proofErr w:type="gramStart"/>
      <w:r>
        <w:rPr>
          <w:rFonts w:cstheme="minorHAnsi"/>
          <w:sz w:val="20"/>
          <w:szCs w:val="20"/>
        </w:rPr>
        <w:t>construct</w:t>
      </w:r>
      <w:proofErr w:type="gramEnd"/>
      <w:r>
        <w:rPr>
          <w:rFonts w:cstheme="minorHAnsi"/>
          <w:sz w:val="20"/>
          <w:szCs w:val="20"/>
        </w:rPr>
        <w:t xml:space="preserve"> and manage completion of broadband projects in Nebraska, and installation and repair technicians that respond to customer requests in Nebraska.  The expenses charged to these projects will represent the allowable portion of these employee costs.  Contracted professional expenses will be separated by project and will represent the charges for this project only. Capital expenditures for Electronic Components and Construction will be separated by project and will be specifically used on this grant project.</w:t>
      </w:r>
    </w:p>
    <w:p w14:paraId="3409BCCA" w14:textId="77777777" w:rsidR="00D60DB0" w:rsidRDefault="00D60DB0" w:rsidP="00D60DB0"/>
    <w:p w14:paraId="2AEED1B3" w14:textId="26EF8A48" w:rsidR="0031234B" w:rsidRDefault="0031234B"/>
    <w:p w14:paraId="4E98C638" w14:textId="77777777" w:rsidR="0031234B" w:rsidRDefault="0031234B"/>
    <w:sectPr w:rsidR="0031234B" w:rsidSect="00990D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FAE7" w14:textId="77777777" w:rsidR="00A5158D" w:rsidRDefault="00A5158D" w:rsidP="00A5158D">
      <w:pPr>
        <w:spacing w:after="0" w:line="240" w:lineRule="auto"/>
      </w:pPr>
      <w:r>
        <w:separator/>
      </w:r>
    </w:p>
  </w:endnote>
  <w:endnote w:type="continuationSeparator" w:id="0">
    <w:p w14:paraId="01FDCF4E" w14:textId="77777777" w:rsidR="00A5158D" w:rsidRDefault="00A5158D"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0383" w14:textId="77777777" w:rsidR="00A5158D" w:rsidRDefault="00A5158D" w:rsidP="00A5158D">
      <w:pPr>
        <w:spacing w:after="0" w:line="240" w:lineRule="auto"/>
      </w:pPr>
      <w:r>
        <w:separator/>
      </w:r>
    </w:p>
  </w:footnote>
  <w:footnote w:type="continuationSeparator" w:id="0">
    <w:p w14:paraId="2BF167CA" w14:textId="77777777" w:rsidR="00A5158D" w:rsidRDefault="00A5158D" w:rsidP="00A5158D">
      <w:pPr>
        <w:spacing w:after="0" w:line="240" w:lineRule="auto"/>
      </w:pPr>
      <w:r>
        <w:continuationSeparator/>
      </w:r>
    </w:p>
  </w:footnote>
  <w:footnote w:id="1">
    <w:p w14:paraId="204E2E09" w14:textId="77777777" w:rsidR="006F0855" w:rsidRDefault="006F0855" w:rsidP="006F0855">
      <w:pPr>
        <w:pStyle w:val="FootnoteText"/>
      </w:pPr>
      <w:r>
        <w:rPr>
          <w:rStyle w:val="FootnoteReference"/>
        </w:rPr>
        <w:footnoteRef/>
      </w:r>
      <w:r>
        <w:t xml:space="preserve"> </w:t>
      </w:r>
      <w:r>
        <w:t>The Company match portion includes the full non-deductible portion of Employee Salary costs.</w:t>
      </w:r>
    </w:p>
    <w:p w14:paraId="067048F1" w14:textId="7248D673" w:rsidR="006F0855" w:rsidRDefault="006F085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9259" w14:textId="77777777" w:rsidR="00F946A8" w:rsidRDefault="007A5F50">
    <w:pPr>
      <w:pStyle w:val="Header"/>
    </w:pPr>
    <w:r>
      <w:ptab w:relativeTo="margin" w:alignment="center" w:leader="none"/>
    </w:r>
    <w:r w:rsidR="0031234B">
      <w:t xml:space="preserve">Attachment </w:t>
    </w:r>
    <w:r w:rsidR="00F946A8">
      <w:t>L</w:t>
    </w:r>
  </w:p>
  <w:p w14:paraId="3B57E962" w14:textId="5926BE4E" w:rsidR="007A5F50" w:rsidRDefault="007A5F50">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03D68"/>
    <w:rsid w:val="00085579"/>
    <w:rsid w:val="000924CB"/>
    <w:rsid w:val="000A1AFF"/>
    <w:rsid w:val="000D2D37"/>
    <w:rsid w:val="00205E01"/>
    <w:rsid w:val="00285576"/>
    <w:rsid w:val="00291947"/>
    <w:rsid w:val="0031234B"/>
    <w:rsid w:val="003F7A47"/>
    <w:rsid w:val="00431274"/>
    <w:rsid w:val="006F0855"/>
    <w:rsid w:val="00754A0D"/>
    <w:rsid w:val="00775343"/>
    <w:rsid w:val="00793DD9"/>
    <w:rsid w:val="007A5F50"/>
    <w:rsid w:val="008463D8"/>
    <w:rsid w:val="008511AE"/>
    <w:rsid w:val="008E4328"/>
    <w:rsid w:val="00927D7F"/>
    <w:rsid w:val="00931D98"/>
    <w:rsid w:val="00990D43"/>
    <w:rsid w:val="00A5158D"/>
    <w:rsid w:val="00A5314C"/>
    <w:rsid w:val="00AA5446"/>
    <w:rsid w:val="00AF56DB"/>
    <w:rsid w:val="00B10D1A"/>
    <w:rsid w:val="00BB3679"/>
    <w:rsid w:val="00C14B3A"/>
    <w:rsid w:val="00D45EDC"/>
    <w:rsid w:val="00D60DB0"/>
    <w:rsid w:val="00D77710"/>
    <w:rsid w:val="00DA0A4F"/>
    <w:rsid w:val="00DA32AF"/>
    <w:rsid w:val="00E556E0"/>
    <w:rsid w:val="00E7354E"/>
    <w:rsid w:val="00EB1F72"/>
    <w:rsid w:val="00F0379A"/>
    <w:rsid w:val="00F946A8"/>
    <w:rsid w:val="00FC655A"/>
    <w:rsid w:val="00FE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table" w:styleId="TableGrid">
    <w:name w:val="Table Grid"/>
    <w:basedOn w:val="TableNormal"/>
    <w:uiPriority w:val="59"/>
    <w:rsid w:val="00D6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08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0855"/>
    <w:rPr>
      <w:sz w:val="20"/>
      <w:szCs w:val="20"/>
    </w:rPr>
  </w:style>
  <w:style w:type="character" w:styleId="FootnoteReference">
    <w:name w:val="footnote reference"/>
    <w:basedOn w:val="DefaultParagraphFont"/>
    <w:uiPriority w:val="99"/>
    <w:semiHidden/>
    <w:unhideWhenUsed/>
    <w:rsid w:val="006F0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14</cp:revision>
  <dcterms:created xsi:type="dcterms:W3CDTF">2022-07-01T15:05:00Z</dcterms:created>
  <dcterms:modified xsi:type="dcterms:W3CDTF">2022-07-01T15:42:00Z</dcterms:modified>
</cp:coreProperties>
</file>