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799F3712" w:rsidR="00067275" w:rsidRDefault="00067F6A" w:rsidP="0031234B">
      <w:r>
        <w:t xml:space="preserve">Qwest Corporation d/b/a </w:t>
      </w:r>
      <w:r w:rsidR="0031234B">
        <w:t>CenturyLink QC</w:t>
      </w:r>
    </w:p>
    <w:p w14:paraId="3765A348" w14:textId="792D2792" w:rsidR="0031234B" w:rsidRDefault="00A5314C" w:rsidP="0031234B">
      <w:r>
        <w:t>Valley</w:t>
      </w:r>
      <w:r w:rsidR="0031234B">
        <w:t xml:space="preserve"> NBBD Grant Application</w:t>
      </w:r>
    </w:p>
    <w:p w14:paraId="66AEC240" w14:textId="595EF521" w:rsidR="0031234B" w:rsidRDefault="0031234B"/>
    <w:p w14:paraId="2BED5DAB" w14:textId="77777777" w:rsidR="00D60DB0" w:rsidRDefault="00D60DB0" w:rsidP="00D60DB0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3229"/>
        <w:gridCol w:w="1686"/>
        <w:gridCol w:w="1946"/>
        <w:gridCol w:w="2381"/>
      </w:tblGrid>
      <w:tr w:rsidR="00D00B84" w:rsidRPr="009A3E98" w14:paraId="7B030B5C" w14:textId="77777777" w:rsidTr="00D00B84">
        <w:tc>
          <w:tcPr>
            <w:tcW w:w="3229" w:type="dxa"/>
          </w:tcPr>
          <w:p w14:paraId="4C2F3194" w14:textId="77777777" w:rsidR="00D00B84" w:rsidRPr="009A3E98" w:rsidRDefault="00D00B84" w:rsidP="00D00B84">
            <w:pPr>
              <w:rPr>
                <w:b/>
                <w:bCs/>
              </w:rPr>
            </w:pPr>
            <w:r w:rsidRPr="009A3E98">
              <w:rPr>
                <w:b/>
                <w:bCs/>
              </w:rPr>
              <w:t>Matching Expenses</w:t>
            </w:r>
          </w:p>
        </w:tc>
        <w:tc>
          <w:tcPr>
            <w:tcW w:w="1686" w:type="dxa"/>
          </w:tcPr>
          <w:p w14:paraId="498DC70B" w14:textId="77777777" w:rsidR="00D00B84" w:rsidRPr="009A3E98" w:rsidRDefault="00D00B84" w:rsidP="00D00B84">
            <w:pPr>
              <w:rPr>
                <w:b/>
                <w:bCs/>
              </w:rPr>
            </w:pPr>
            <w:r w:rsidRPr="009A3E98">
              <w:rPr>
                <w:b/>
                <w:bCs/>
              </w:rPr>
              <w:t>Matching Amount</w:t>
            </w:r>
          </w:p>
        </w:tc>
        <w:tc>
          <w:tcPr>
            <w:tcW w:w="1946" w:type="dxa"/>
          </w:tcPr>
          <w:p w14:paraId="728B7E5C" w14:textId="5DD4DECD" w:rsidR="00D00B84" w:rsidRDefault="00D00B84" w:rsidP="00D00B84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Amount</w:t>
            </w:r>
          </w:p>
        </w:tc>
        <w:tc>
          <w:tcPr>
            <w:tcW w:w="2381" w:type="dxa"/>
          </w:tcPr>
          <w:p w14:paraId="5F19C763" w14:textId="256ACB7F" w:rsidR="00D00B84" w:rsidRPr="009A3E98" w:rsidRDefault="00D00B84" w:rsidP="00D0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CenturyLink QC </w:t>
            </w:r>
            <w:r w:rsidRPr="009A3E98">
              <w:rPr>
                <w:b/>
                <w:bCs/>
              </w:rPr>
              <w:t>Funding Commitment date</w:t>
            </w:r>
          </w:p>
        </w:tc>
      </w:tr>
      <w:tr w:rsidR="00D00B84" w14:paraId="788C4977" w14:textId="77777777" w:rsidTr="00D00B84">
        <w:tc>
          <w:tcPr>
            <w:tcW w:w="3229" w:type="dxa"/>
          </w:tcPr>
          <w:p w14:paraId="3ED7C5ED" w14:textId="77777777" w:rsidR="00D00B84" w:rsidRDefault="00D00B84" w:rsidP="00D00B84">
            <w:r>
              <w:t>Contracted professional services-estimated</w:t>
            </w:r>
          </w:p>
        </w:tc>
        <w:tc>
          <w:tcPr>
            <w:tcW w:w="1686" w:type="dxa"/>
          </w:tcPr>
          <w:p w14:paraId="76D0F886" w14:textId="4B2A6ECA" w:rsidR="00D00B84" w:rsidRDefault="00D00B84" w:rsidP="00D00B84">
            <w:r>
              <w:t>$     7,500</w:t>
            </w:r>
          </w:p>
        </w:tc>
        <w:tc>
          <w:tcPr>
            <w:tcW w:w="1946" w:type="dxa"/>
          </w:tcPr>
          <w:p w14:paraId="39C6BE22" w14:textId="660E155A" w:rsidR="00D00B84" w:rsidRDefault="00D00B84" w:rsidP="00D00B84">
            <w:r>
              <w:t xml:space="preserve">$ </w:t>
            </w:r>
            <w:r w:rsidR="00BF5267">
              <w:t xml:space="preserve"> </w:t>
            </w:r>
            <w:r>
              <w:t xml:space="preserve"> </w:t>
            </w:r>
            <w:r w:rsidR="004F09D6">
              <w:t xml:space="preserve"> </w:t>
            </w:r>
            <w:r w:rsidR="00BF5267">
              <w:t>3</w:t>
            </w:r>
            <w:r>
              <w:t>0,000</w:t>
            </w:r>
          </w:p>
        </w:tc>
        <w:tc>
          <w:tcPr>
            <w:tcW w:w="2381" w:type="dxa"/>
          </w:tcPr>
          <w:p w14:paraId="49DB2E4E" w14:textId="1C09D82C" w:rsidR="00D00B84" w:rsidRDefault="00D00B84" w:rsidP="00D00B84">
            <w:r>
              <w:t>12/6/2022</w:t>
            </w:r>
          </w:p>
        </w:tc>
      </w:tr>
      <w:tr w:rsidR="00D00B84" w14:paraId="5F3BF3F9" w14:textId="77777777" w:rsidTr="00D00B84">
        <w:tc>
          <w:tcPr>
            <w:tcW w:w="3229" w:type="dxa"/>
          </w:tcPr>
          <w:p w14:paraId="38EB3FFC" w14:textId="0184A156" w:rsidR="00D00B84" w:rsidRDefault="00D00B84" w:rsidP="00D00B84">
            <w:r>
              <w:t>Employee professional services-estimated</w:t>
            </w:r>
          </w:p>
        </w:tc>
        <w:tc>
          <w:tcPr>
            <w:tcW w:w="1686" w:type="dxa"/>
          </w:tcPr>
          <w:p w14:paraId="340273CD" w14:textId="29232979" w:rsidR="00D00B84" w:rsidRDefault="00D00B84" w:rsidP="00D00B84">
            <w:r>
              <w:t>$   1</w:t>
            </w:r>
            <w:r w:rsidR="00D047D4">
              <w:t>0</w:t>
            </w:r>
            <w:r>
              <w:t>,000</w:t>
            </w:r>
          </w:p>
        </w:tc>
        <w:tc>
          <w:tcPr>
            <w:tcW w:w="1946" w:type="dxa"/>
          </w:tcPr>
          <w:p w14:paraId="3EB0B5BD" w14:textId="566B6520" w:rsidR="00D00B84" w:rsidRDefault="00D00B84" w:rsidP="00D00B84">
            <w:r>
              <w:t xml:space="preserve">$    </w:t>
            </w:r>
            <w:r w:rsidR="00D94133">
              <w:t>40</w:t>
            </w:r>
            <w:r>
              <w:t>,000</w:t>
            </w:r>
          </w:p>
        </w:tc>
        <w:tc>
          <w:tcPr>
            <w:tcW w:w="2381" w:type="dxa"/>
          </w:tcPr>
          <w:p w14:paraId="5D213D5D" w14:textId="25852645" w:rsidR="00D00B84" w:rsidRDefault="00D00B84" w:rsidP="00D00B84">
            <w:r>
              <w:t>12/6/2022</w:t>
            </w:r>
          </w:p>
        </w:tc>
      </w:tr>
      <w:tr w:rsidR="00D00B84" w14:paraId="1A32E7F8" w14:textId="77777777" w:rsidTr="00D00B84">
        <w:tc>
          <w:tcPr>
            <w:tcW w:w="3229" w:type="dxa"/>
          </w:tcPr>
          <w:p w14:paraId="1A0B7379" w14:textId="77777777" w:rsidR="00D00B84" w:rsidRDefault="00D00B84" w:rsidP="00D00B84">
            <w:r>
              <w:t>Electronic Components – estimated</w:t>
            </w:r>
          </w:p>
        </w:tc>
        <w:tc>
          <w:tcPr>
            <w:tcW w:w="1686" w:type="dxa"/>
          </w:tcPr>
          <w:p w14:paraId="44599E88" w14:textId="7D9DD428" w:rsidR="00D00B84" w:rsidRDefault="00D00B84" w:rsidP="00D00B84">
            <w:r>
              <w:t>$             0</w:t>
            </w:r>
          </w:p>
        </w:tc>
        <w:tc>
          <w:tcPr>
            <w:tcW w:w="1946" w:type="dxa"/>
          </w:tcPr>
          <w:p w14:paraId="307F8869" w14:textId="75D7540B" w:rsidR="00D00B84" w:rsidRDefault="00D00B84" w:rsidP="00D00B84">
            <w:r>
              <w:t xml:space="preserve">$      </w:t>
            </w:r>
            <w:r w:rsidR="004B1283">
              <w:t xml:space="preserve">        0</w:t>
            </w:r>
          </w:p>
        </w:tc>
        <w:tc>
          <w:tcPr>
            <w:tcW w:w="2381" w:type="dxa"/>
          </w:tcPr>
          <w:p w14:paraId="3D239C60" w14:textId="00BD7A1D" w:rsidR="00D00B84" w:rsidRDefault="00D00B84" w:rsidP="00D00B84">
            <w:r>
              <w:t>12/6/2022</w:t>
            </w:r>
          </w:p>
        </w:tc>
      </w:tr>
      <w:tr w:rsidR="00D00B84" w14:paraId="579D8369" w14:textId="77777777" w:rsidTr="00D00B84">
        <w:tc>
          <w:tcPr>
            <w:tcW w:w="3229" w:type="dxa"/>
          </w:tcPr>
          <w:p w14:paraId="2DF9C772" w14:textId="77777777" w:rsidR="00D00B84" w:rsidRDefault="00D00B84" w:rsidP="00D00B84">
            <w:r>
              <w:t>Construction costs – estimated</w:t>
            </w:r>
          </w:p>
        </w:tc>
        <w:tc>
          <w:tcPr>
            <w:tcW w:w="1686" w:type="dxa"/>
          </w:tcPr>
          <w:p w14:paraId="62653CA6" w14:textId="74819CF9" w:rsidR="00D00B84" w:rsidRDefault="00D00B84" w:rsidP="00D00B84">
            <w:r>
              <w:t>$   5</w:t>
            </w:r>
            <w:r w:rsidR="00193EF2">
              <w:t>4</w:t>
            </w:r>
            <w:r>
              <w:t>,000</w:t>
            </w:r>
          </w:p>
        </w:tc>
        <w:tc>
          <w:tcPr>
            <w:tcW w:w="1946" w:type="dxa"/>
          </w:tcPr>
          <w:p w14:paraId="6E195C9F" w14:textId="11BF4F98" w:rsidR="00D00B84" w:rsidRDefault="00D00B84" w:rsidP="00D00B84">
            <w:r>
              <w:t xml:space="preserve">$  </w:t>
            </w:r>
            <w:r w:rsidR="00593659">
              <w:t>2</w:t>
            </w:r>
            <w:r w:rsidR="00D94133">
              <w:t>16</w:t>
            </w:r>
            <w:r>
              <w:t>,000</w:t>
            </w:r>
          </w:p>
        </w:tc>
        <w:tc>
          <w:tcPr>
            <w:tcW w:w="2381" w:type="dxa"/>
          </w:tcPr>
          <w:p w14:paraId="60D49D25" w14:textId="297E5E29" w:rsidR="00D00B84" w:rsidRDefault="00D00B84" w:rsidP="00D00B84">
            <w:r>
              <w:t>12/6/2022</w:t>
            </w:r>
          </w:p>
        </w:tc>
      </w:tr>
      <w:tr w:rsidR="00D00B84" w14:paraId="79678D88" w14:textId="77777777" w:rsidTr="00D00B84">
        <w:tc>
          <w:tcPr>
            <w:tcW w:w="3229" w:type="dxa"/>
          </w:tcPr>
          <w:p w14:paraId="50C72D5C" w14:textId="77777777" w:rsidR="00D00B84" w:rsidRDefault="00D00B84" w:rsidP="00D00B84">
            <w:r>
              <w:t>Total Match Funding</w:t>
            </w:r>
          </w:p>
        </w:tc>
        <w:tc>
          <w:tcPr>
            <w:tcW w:w="1686" w:type="dxa"/>
          </w:tcPr>
          <w:p w14:paraId="0423F093" w14:textId="101AB3A5" w:rsidR="00D00B84" w:rsidRDefault="00D00B84" w:rsidP="00D00B84">
            <w:r>
              <w:t>$   7</w:t>
            </w:r>
            <w:r w:rsidR="003542F9">
              <w:t>1</w:t>
            </w:r>
            <w:r>
              <w:t>,500</w:t>
            </w:r>
          </w:p>
        </w:tc>
        <w:tc>
          <w:tcPr>
            <w:tcW w:w="1946" w:type="dxa"/>
          </w:tcPr>
          <w:p w14:paraId="20D5214C" w14:textId="3DF03FB4" w:rsidR="00D00B84" w:rsidRDefault="00D00B84" w:rsidP="00D00B84">
            <w:r>
              <w:t xml:space="preserve">$ </w:t>
            </w:r>
            <w:r w:rsidR="005038F6">
              <w:t xml:space="preserve"> </w:t>
            </w:r>
            <w:r>
              <w:t>2</w:t>
            </w:r>
            <w:r w:rsidR="005038F6">
              <w:t>86</w:t>
            </w:r>
            <w:r>
              <w:t>,000</w:t>
            </w:r>
          </w:p>
        </w:tc>
        <w:tc>
          <w:tcPr>
            <w:tcW w:w="2381" w:type="dxa"/>
          </w:tcPr>
          <w:p w14:paraId="71D0FC2F" w14:textId="46A2A082" w:rsidR="00D00B84" w:rsidRDefault="00D00B84" w:rsidP="00D00B84"/>
        </w:tc>
      </w:tr>
    </w:tbl>
    <w:p w14:paraId="14ADA15B" w14:textId="77777777" w:rsidR="00D60DB0" w:rsidRDefault="00D60DB0" w:rsidP="00D60DB0"/>
    <w:p w14:paraId="07CE18AA" w14:textId="47C53B31" w:rsidR="003C3780" w:rsidRDefault="003C3780" w:rsidP="003C3780">
      <w:pPr>
        <w:rPr>
          <w:rFonts w:cstheme="minorHAnsi"/>
          <w:sz w:val="20"/>
          <w:szCs w:val="20"/>
        </w:rPr>
      </w:pPr>
      <w:r w:rsidRPr="00096486">
        <w:rPr>
          <w:sz w:val="20"/>
          <w:szCs w:val="20"/>
        </w:rPr>
        <w:t>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plans to use internal operating funds as payment for all project costs and equipment necessary and will record the costs in accordance with general accounting principles.  </w:t>
      </w:r>
      <w:r>
        <w:rPr>
          <w:sz w:val="20"/>
          <w:szCs w:val="20"/>
        </w:rPr>
        <w:t xml:space="preserve">Neither CenturyLink QC, nor its parent company Lumen Technologies (Lumen) will need to borrow for this project as it is less than 0.1% of Lumen’s annual capital expenditures.  Lumen routinely completes </w:t>
      </w:r>
      <w:r w:rsidR="00437B0D">
        <w:rPr>
          <w:sz w:val="20"/>
          <w:szCs w:val="20"/>
        </w:rPr>
        <w:t>projects</w:t>
      </w:r>
      <w:r>
        <w:rPr>
          <w:sz w:val="20"/>
          <w:szCs w:val="20"/>
        </w:rPr>
        <w:t xml:space="preserve"> much larger than this without special accounts or debt funding.  </w:t>
      </w:r>
      <w:r w:rsidRPr="002F3129">
        <w:rPr>
          <w:rFonts w:cstheme="minorHAnsi"/>
          <w:sz w:val="20"/>
          <w:szCs w:val="20"/>
        </w:rPr>
        <w:t xml:space="preserve">Lumen is one of the largest corporations in the United States and has committed to Wall Street that it will spend more than $3 billion in capital expenditures during 2022 and plans to continue that level of spending in future years as it expands its fiber-to-the-premise network from 2.8 million locations to more than 12 million </w:t>
      </w:r>
      <w:r w:rsidR="00437B0D">
        <w:rPr>
          <w:rFonts w:cstheme="minorHAnsi"/>
          <w:sz w:val="20"/>
          <w:szCs w:val="20"/>
        </w:rPr>
        <w:t xml:space="preserve">locations </w:t>
      </w:r>
      <w:r w:rsidRPr="002F3129">
        <w:rPr>
          <w:rFonts w:cstheme="minorHAnsi"/>
          <w:sz w:val="20"/>
          <w:szCs w:val="20"/>
        </w:rPr>
        <w:t>over the next few years.</w:t>
      </w:r>
      <w:r>
        <w:rPr>
          <w:rFonts w:cstheme="minorHAnsi"/>
          <w:sz w:val="20"/>
          <w:szCs w:val="20"/>
        </w:rPr>
        <w:t xml:space="preserve">  CenturyLink QC employs engineers and construction managers that develop, construct and manage completion of broadband projects in Nebraska, and installation and repair technicians that respond to customer requests in Nebraska.  </w:t>
      </w:r>
    </w:p>
    <w:p w14:paraId="0894DA5F" w14:textId="77777777" w:rsidR="003C3780" w:rsidRPr="00096486" w:rsidRDefault="003C3780" w:rsidP="003C3780">
      <w:pPr>
        <w:rPr>
          <w:sz w:val="20"/>
          <w:szCs w:val="20"/>
        </w:rPr>
      </w:pPr>
      <w:r w:rsidRPr="00096486">
        <w:rPr>
          <w:sz w:val="20"/>
          <w:szCs w:val="20"/>
        </w:rPr>
        <w:t>Related to project reimbursements</w:t>
      </w:r>
      <w:r>
        <w:rPr>
          <w:sz w:val="20"/>
          <w:szCs w:val="20"/>
        </w:rPr>
        <w:t xml:space="preserve"> from the Governor’s Broadband Fund</w:t>
      </w:r>
      <w:r w:rsidRPr="00096486">
        <w:rPr>
          <w:sz w:val="20"/>
          <w:szCs w:val="20"/>
        </w:rPr>
        <w:t xml:space="preserve">, CenturyLink </w:t>
      </w:r>
      <w:r>
        <w:rPr>
          <w:sz w:val="20"/>
          <w:szCs w:val="20"/>
        </w:rPr>
        <w:t xml:space="preserve">QC </w:t>
      </w:r>
      <w:r w:rsidRPr="00096486">
        <w:rPr>
          <w:sz w:val="20"/>
          <w:szCs w:val="20"/>
        </w:rPr>
        <w:t>will provide electronic invoices for all project equipment purchases made by 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>.  For 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employees engaged in project planning, design, engineering, construction management and construction efforts, CenturyLink </w:t>
      </w:r>
      <w:r>
        <w:rPr>
          <w:sz w:val="20"/>
          <w:szCs w:val="20"/>
        </w:rPr>
        <w:t xml:space="preserve">QC </w:t>
      </w:r>
      <w:r w:rsidRPr="00096486">
        <w:rPr>
          <w:sz w:val="20"/>
          <w:szCs w:val="20"/>
        </w:rPr>
        <w:t xml:space="preserve">will provide hours spent for each type of expense and will identify and exclude any disallowable costs.  For independent contractors hired for project engineering, permit negotiations/payments and network construction, CenturyLink </w:t>
      </w:r>
      <w:r>
        <w:rPr>
          <w:sz w:val="20"/>
          <w:szCs w:val="20"/>
        </w:rPr>
        <w:t xml:space="preserve">QC </w:t>
      </w:r>
      <w:r w:rsidRPr="00096486">
        <w:rPr>
          <w:sz w:val="20"/>
          <w:szCs w:val="20"/>
        </w:rPr>
        <w:t xml:space="preserve">will pay these contractors’ invoices, and will provide the contractor invoices for reimbursement purposes.  As part of the reimbursement request, CenturyLink </w:t>
      </w:r>
      <w:r>
        <w:rPr>
          <w:sz w:val="20"/>
          <w:szCs w:val="20"/>
        </w:rPr>
        <w:t xml:space="preserve">QC </w:t>
      </w:r>
      <w:r w:rsidRPr="00096486">
        <w:rPr>
          <w:sz w:val="20"/>
          <w:szCs w:val="20"/>
        </w:rPr>
        <w:t>can provide a comparison of costs for this project compared to a Nebraska Universal Service Fund project or an internally funded project.</w:t>
      </w:r>
    </w:p>
    <w:p w14:paraId="42D8875F" w14:textId="77777777" w:rsidR="003C3780" w:rsidRDefault="003C3780" w:rsidP="00D60DB0"/>
    <w:p w14:paraId="3409BCCA" w14:textId="77777777" w:rsidR="00D60DB0" w:rsidRDefault="00D60DB0" w:rsidP="00D60DB0"/>
    <w:p w14:paraId="2AEED1B3" w14:textId="26EF8A48" w:rsidR="0031234B" w:rsidRDefault="0031234B"/>
    <w:p w14:paraId="4E98C638" w14:textId="77777777" w:rsidR="0031234B" w:rsidRDefault="0031234B"/>
    <w:sectPr w:rsidR="0031234B" w:rsidSect="00990D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50E1" w14:textId="77777777" w:rsidR="00182A7E" w:rsidRDefault="00182A7E" w:rsidP="00A5158D">
      <w:pPr>
        <w:spacing w:after="0" w:line="240" w:lineRule="auto"/>
      </w:pPr>
      <w:r>
        <w:separator/>
      </w:r>
    </w:p>
  </w:endnote>
  <w:endnote w:type="continuationSeparator" w:id="0">
    <w:p w14:paraId="69749561" w14:textId="77777777" w:rsidR="00182A7E" w:rsidRDefault="00182A7E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3578" w14:textId="77777777" w:rsidR="00182A7E" w:rsidRDefault="00182A7E" w:rsidP="00A5158D">
      <w:pPr>
        <w:spacing w:after="0" w:line="240" w:lineRule="auto"/>
      </w:pPr>
      <w:r>
        <w:separator/>
      </w:r>
    </w:p>
  </w:footnote>
  <w:footnote w:type="continuationSeparator" w:id="0">
    <w:p w14:paraId="349C8B15" w14:textId="77777777" w:rsidR="00182A7E" w:rsidRDefault="00182A7E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76D35C0F" w:rsidR="00F946A8" w:rsidRDefault="007A5F50">
    <w:pPr>
      <w:pStyle w:val="Header"/>
    </w:pPr>
    <w:r>
      <w:ptab w:relativeTo="margin" w:alignment="center" w:leader="none"/>
    </w:r>
    <w:r w:rsidR="00F71CEC">
      <w:t xml:space="preserve">AMENDED </w:t>
    </w:r>
    <w:r w:rsidR="0031234B">
      <w:t xml:space="preserve">Attachment </w:t>
    </w:r>
    <w:r w:rsidR="00F946A8">
      <w:t>L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67F6A"/>
    <w:rsid w:val="00085579"/>
    <w:rsid w:val="000924CB"/>
    <w:rsid w:val="000A1AFF"/>
    <w:rsid w:val="000D2D37"/>
    <w:rsid w:val="00182A7E"/>
    <w:rsid w:val="00193EF2"/>
    <w:rsid w:val="001D7128"/>
    <w:rsid w:val="00205E01"/>
    <w:rsid w:val="00285576"/>
    <w:rsid w:val="00291947"/>
    <w:rsid w:val="0031234B"/>
    <w:rsid w:val="003542F9"/>
    <w:rsid w:val="003C3780"/>
    <w:rsid w:val="003F7A47"/>
    <w:rsid w:val="00431274"/>
    <w:rsid w:val="00437B0D"/>
    <w:rsid w:val="004B1283"/>
    <w:rsid w:val="004F09D6"/>
    <w:rsid w:val="005038F6"/>
    <w:rsid w:val="00593659"/>
    <w:rsid w:val="006F0855"/>
    <w:rsid w:val="00754A0D"/>
    <w:rsid w:val="00775343"/>
    <w:rsid w:val="00793DD9"/>
    <w:rsid w:val="007A5F50"/>
    <w:rsid w:val="008463D8"/>
    <w:rsid w:val="008511AE"/>
    <w:rsid w:val="008E4328"/>
    <w:rsid w:val="008F0242"/>
    <w:rsid w:val="00927D7F"/>
    <w:rsid w:val="00931D98"/>
    <w:rsid w:val="00990D43"/>
    <w:rsid w:val="00A5158D"/>
    <w:rsid w:val="00A5314C"/>
    <w:rsid w:val="00AA5446"/>
    <w:rsid w:val="00AF56DB"/>
    <w:rsid w:val="00B10D1A"/>
    <w:rsid w:val="00BB3679"/>
    <w:rsid w:val="00BF5267"/>
    <w:rsid w:val="00C14B3A"/>
    <w:rsid w:val="00D00B84"/>
    <w:rsid w:val="00D047D4"/>
    <w:rsid w:val="00D45EDC"/>
    <w:rsid w:val="00D60DB0"/>
    <w:rsid w:val="00D77710"/>
    <w:rsid w:val="00D94133"/>
    <w:rsid w:val="00DA0A4F"/>
    <w:rsid w:val="00DA32AF"/>
    <w:rsid w:val="00E556E0"/>
    <w:rsid w:val="00E7354E"/>
    <w:rsid w:val="00EB1F72"/>
    <w:rsid w:val="00F0379A"/>
    <w:rsid w:val="00F71CEC"/>
    <w:rsid w:val="00F946A8"/>
    <w:rsid w:val="00FC655A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8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Lubeck, Al L</cp:lastModifiedBy>
  <cp:revision>17</cp:revision>
  <dcterms:created xsi:type="dcterms:W3CDTF">2022-09-20T19:55:00Z</dcterms:created>
  <dcterms:modified xsi:type="dcterms:W3CDTF">2022-09-21T20:41:00Z</dcterms:modified>
</cp:coreProperties>
</file>