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6CC" w14:textId="55BB534D" w:rsidR="006368D5" w:rsidRDefault="006368D5">
      <w:r>
        <w:t>Qwest Corporation d/b/a CenturyLink QC</w:t>
      </w:r>
    </w:p>
    <w:p w14:paraId="0E779861" w14:textId="6B37A56E" w:rsidR="006368D5" w:rsidRDefault="00237881">
      <w:r>
        <w:t>Farwell</w:t>
      </w:r>
      <w:r w:rsidR="008635FC">
        <w:t xml:space="preserve"> </w:t>
      </w:r>
      <w:r w:rsidR="00736A39">
        <w:t>NBBP</w:t>
      </w:r>
      <w:r w:rsidR="00200E1E">
        <w:t>/CPF</w:t>
      </w:r>
      <w:r w:rsidR="00736A39">
        <w:t xml:space="preserve"> Grant</w:t>
      </w:r>
      <w:r w:rsidR="006368D5">
        <w:t xml:space="preserve"> Application</w:t>
      </w:r>
    </w:p>
    <w:p w14:paraId="0D046822" w14:textId="25DDE0CD" w:rsidR="00822557" w:rsidRDefault="00822557" w:rsidP="004F5366"/>
    <w:p w14:paraId="191710CB" w14:textId="77777777" w:rsidR="00F12421" w:rsidRDefault="00F12421" w:rsidP="00F12421">
      <w:r>
        <w:t>Attachment M includes:</w:t>
      </w:r>
    </w:p>
    <w:p w14:paraId="24EBEE06" w14:textId="77777777" w:rsidR="00F12421" w:rsidRDefault="00F12421" w:rsidP="00F12421">
      <w:pPr>
        <w:pStyle w:val="ListParagraph"/>
        <w:numPr>
          <w:ilvl w:val="0"/>
          <w:numId w:val="2"/>
        </w:numPr>
      </w:pPr>
      <w:r>
        <w:t>Page 1:  Project area maximum speed additional information</w:t>
      </w:r>
    </w:p>
    <w:p w14:paraId="0A173174" w14:textId="77777777" w:rsidR="00F12421" w:rsidRDefault="00F12421" w:rsidP="00F12421">
      <w:pPr>
        <w:pStyle w:val="ListParagraph"/>
        <w:numPr>
          <w:ilvl w:val="0"/>
          <w:numId w:val="2"/>
        </w:numPr>
      </w:pPr>
      <w:r>
        <w:t>Page 2:  Additional financial data</w:t>
      </w:r>
    </w:p>
    <w:p w14:paraId="4C05E460" w14:textId="77777777" w:rsidR="00F12421" w:rsidRDefault="00F12421" w:rsidP="004F5366"/>
    <w:p w14:paraId="13CACC97" w14:textId="77777777" w:rsidR="00F12421" w:rsidRDefault="00F12421" w:rsidP="004F5366"/>
    <w:p w14:paraId="3F674AE3" w14:textId="293FE898" w:rsidR="00830925" w:rsidRPr="00F12421" w:rsidRDefault="004F5366" w:rsidP="004F5366">
      <w:pPr>
        <w:rPr>
          <w:b/>
          <w:bCs/>
        </w:rPr>
      </w:pPr>
      <w:r w:rsidRPr="00F12421">
        <w:rPr>
          <w:b/>
          <w:bCs/>
        </w:rPr>
        <w:t xml:space="preserve">CenturyLink QC </w:t>
      </w:r>
      <w:r w:rsidR="003B0917" w:rsidRPr="00F12421">
        <w:rPr>
          <w:b/>
          <w:bCs/>
        </w:rPr>
        <w:t>researched maximum speeds in the project area</w:t>
      </w:r>
      <w:r w:rsidR="003E353F" w:rsidRPr="00F12421">
        <w:rPr>
          <w:b/>
          <w:bCs/>
        </w:rPr>
        <w:t xml:space="preserve"> utilizing the FCC</w:t>
      </w:r>
      <w:r w:rsidR="00235945" w:rsidRPr="00F12421">
        <w:rPr>
          <w:b/>
          <w:bCs/>
        </w:rPr>
        <w:t xml:space="preserve">’s most recent 477 census level data and the FCC’s Broadband Deployment </w:t>
      </w:r>
      <w:r w:rsidR="00830925" w:rsidRPr="00F12421">
        <w:rPr>
          <w:b/>
          <w:bCs/>
        </w:rPr>
        <w:t>Data National Broadband Map.</w:t>
      </w:r>
    </w:p>
    <w:p w14:paraId="5A862012" w14:textId="77777777" w:rsidR="00483FEF" w:rsidRDefault="00483FEF" w:rsidP="004F5366"/>
    <w:p w14:paraId="301EBE63" w14:textId="4E136E95" w:rsidR="00830925" w:rsidRDefault="00732F5E" w:rsidP="004F5366">
      <w:r>
        <w:t>Data below is based on the FCC’s most recent 477 census level data:</w:t>
      </w:r>
    </w:p>
    <w:p w14:paraId="49EA06E2" w14:textId="5D182209" w:rsidR="00732F5E" w:rsidRDefault="00732F5E" w:rsidP="004F5366">
      <w:r>
        <w:t>Maximum wireline speed</w:t>
      </w:r>
      <w:r w:rsidR="00761728">
        <w:t>:  CenturyLink 100/10 Mbps</w:t>
      </w:r>
    </w:p>
    <w:p w14:paraId="01DE98A7" w14:textId="6F90854E" w:rsidR="00761728" w:rsidRDefault="00761728" w:rsidP="004F5366">
      <w:r>
        <w:t xml:space="preserve">Maximum speed (wireline &amp; WISP):  </w:t>
      </w:r>
      <w:r w:rsidR="00447458">
        <w:t>Prairie Hills Wireless, LLC  200/100 Mbps</w:t>
      </w:r>
    </w:p>
    <w:p w14:paraId="35EEA4C5" w14:textId="66176743" w:rsidR="00447458" w:rsidRDefault="00447458" w:rsidP="004F5366">
      <w:r>
        <w:t xml:space="preserve">Based on </w:t>
      </w:r>
      <w:r w:rsidR="000C7E08">
        <w:t xml:space="preserve">reliability of FCC broadband reporting and local knowledge of the </w:t>
      </w:r>
      <w:r w:rsidR="00562706">
        <w:t xml:space="preserve">broadband availability in the </w:t>
      </w:r>
      <w:r w:rsidR="000C7E08">
        <w:t xml:space="preserve">project area, CenturyLink QC has </w:t>
      </w:r>
      <w:r w:rsidR="004F0290">
        <w:t xml:space="preserve">filed the application </w:t>
      </w:r>
      <w:r w:rsidR="009B651C">
        <w:t>utilizing wireline only speeds for unserved/underserved counts and maximum current speed.</w:t>
      </w:r>
    </w:p>
    <w:p w14:paraId="2AE16E33" w14:textId="254D73D8" w:rsidR="00F12421" w:rsidRDefault="00F12421" w:rsidP="004F5366"/>
    <w:p w14:paraId="2761ECBA" w14:textId="72C36B71" w:rsidR="00F12421" w:rsidRDefault="00F12421">
      <w:r>
        <w:br w:type="page"/>
      </w:r>
    </w:p>
    <w:p w14:paraId="493DB007" w14:textId="77777777" w:rsidR="00763488" w:rsidRPr="00CF78BA" w:rsidRDefault="00763488" w:rsidP="00763488">
      <w:pPr>
        <w:rPr>
          <w:b/>
          <w:bCs/>
        </w:rPr>
      </w:pPr>
      <w:r w:rsidRPr="00CF78BA">
        <w:rPr>
          <w:b/>
          <w:bCs/>
        </w:rPr>
        <w:lastRenderedPageBreak/>
        <w:t>CenturyLink additional financial data:</w:t>
      </w:r>
    </w:p>
    <w:p w14:paraId="5E96D9AD" w14:textId="77777777" w:rsidR="00763488" w:rsidRDefault="00763488" w:rsidP="00763488">
      <w:r>
        <w:t>Clarification of current ratio:</w:t>
      </w:r>
    </w:p>
    <w:p w14:paraId="5C29B995" w14:textId="77777777" w:rsidR="00763488" w:rsidRDefault="00763488" w:rsidP="00763488">
      <w:r w:rsidRPr="003A3B70">
        <w:rPr>
          <w:noProof/>
        </w:rPr>
        <w:drawing>
          <wp:inline distT="0" distB="0" distL="0" distR="0" wp14:anchorId="6B066B2C" wp14:editId="704A595D">
            <wp:extent cx="5819775" cy="2581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2581275"/>
                    </a:xfrm>
                    <a:prstGeom prst="rect">
                      <a:avLst/>
                    </a:prstGeom>
                    <a:noFill/>
                    <a:ln>
                      <a:noFill/>
                    </a:ln>
                  </pic:spPr>
                </pic:pic>
              </a:graphicData>
            </a:graphic>
          </wp:inline>
        </w:drawing>
      </w:r>
    </w:p>
    <w:p w14:paraId="47C16D02" w14:textId="77777777" w:rsidR="00763488" w:rsidRDefault="00763488" w:rsidP="00763488">
      <w:r w:rsidRPr="00D549F2">
        <w:t xml:space="preserve">Current ratio based on current assets including "assets held for sale" are above 1 for years 2021 and 2022.  This reflects ILEC sales to </w:t>
      </w:r>
      <w:proofErr w:type="spellStart"/>
      <w:r w:rsidRPr="00D549F2">
        <w:t>Brightspeed</w:t>
      </w:r>
      <w:proofErr w:type="spellEnd"/>
      <w:r w:rsidRPr="00D549F2">
        <w:t xml:space="preserve"> of 20 states and sale of Latin America operations to </w:t>
      </w:r>
      <w:proofErr w:type="spellStart"/>
      <w:r w:rsidRPr="00D549F2">
        <w:t>Stonepeak</w:t>
      </w:r>
      <w:proofErr w:type="spellEnd"/>
      <w:r w:rsidRPr="00D549F2">
        <w:t>.  Both transactions closed in 2022.  These transactions were estimated in the year ending 2021.  2022 "assets held for sale" includes an estimate of the pending sale of European Operations to Colt Technology Services.</w:t>
      </w:r>
      <w:r>
        <w:t xml:space="preserve">  Additionally, Lumen has suspended its dividend beginning in 2023 which equates to approximately $1B.</w:t>
      </w:r>
    </w:p>
    <w:p w14:paraId="627FC46F" w14:textId="77777777" w:rsidR="00763488" w:rsidRDefault="00763488" w:rsidP="00763488">
      <w:r>
        <w:t>Lumen has received an unqualified audit opinion for all years represented in the table above.</w:t>
      </w:r>
    </w:p>
    <w:p w14:paraId="5A9FC6F1" w14:textId="77777777" w:rsidR="00763488" w:rsidRDefault="00763488" w:rsidP="00763488">
      <w:r>
        <w:t xml:space="preserve">See page 159 of Lumen proxy 2023 via link below for additional statements about liquidity.  </w:t>
      </w:r>
    </w:p>
    <w:p w14:paraId="3E9FE59D" w14:textId="77777777" w:rsidR="00763488" w:rsidRDefault="00763488" w:rsidP="00763488">
      <w:hyperlink r:id="rId11" w:history="1">
        <w:r w:rsidRPr="008B23F5">
          <w:rPr>
            <w:rStyle w:val="Hyperlink"/>
          </w:rPr>
          <w:t>https://s24.q4cdn.com/287068338/files/doc_financials/2023/ar/413614-1-_19_Lumen_NPS-AR-Combo_WR_R1.pdf</w:t>
        </w:r>
      </w:hyperlink>
    </w:p>
    <w:p w14:paraId="17389E9D" w14:textId="77777777" w:rsidR="00763488" w:rsidRDefault="00763488" w:rsidP="00763488"/>
    <w:p w14:paraId="7229BA0F" w14:textId="77777777" w:rsidR="00763488" w:rsidRDefault="00763488" w:rsidP="00763488">
      <w:r>
        <w:t>Lumen’s 10K filings can be found here:</w:t>
      </w:r>
    </w:p>
    <w:p w14:paraId="45D3C729" w14:textId="77777777" w:rsidR="00763488" w:rsidRDefault="00763488" w:rsidP="00763488">
      <w:hyperlink r:id="rId12" w:history="1">
        <w:r w:rsidRPr="008B23F5">
          <w:rPr>
            <w:rStyle w:val="Hyperlink"/>
          </w:rPr>
          <w:t>https://ir.lumen.com/financials/sec-filings/default.aspx</w:t>
        </w:r>
      </w:hyperlink>
    </w:p>
    <w:p w14:paraId="688C5785" w14:textId="77777777" w:rsidR="00763488" w:rsidRDefault="00763488" w:rsidP="00763488"/>
    <w:p w14:paraId="4DFDC004" w14:textId="77777777" w:rsidR="00F12421" w:rsidRDefault="00F12421" w:rsidP="004F5366"/>
    <w:sectPr w:rsidR="00F12421" w:rsidSect="00990D4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63E4" w14:textId="77777777" w:rsidR="00191EE7" w:rsidRDefault="00191EE7" w:rsidP="00BF7E9E">
      <w:pPr>
        <w:spacing w:after="0" w:line="240" w:lineRule="auto"/>
      </w:pPr>
      <w:r>
        <w:separator/>
      </w:r>
    </w:p>
  </w:endnote>
  <w:endnote w:type="continuationSeparator" w:id="0">
    <w:p w14:paraId="28118F35" w14:textId="77777777" w:rsidR="00191EE7" w:rsidRDefault="00191EE7" w:rsidP="00BF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23C8" w14:textId="77777777" w:rsidR="00191EE7" w:rsidRDefault="00191EE7" w:rsidP="00BF7E9E">
      <w:pPr>
        <w:spacing w:after="0" w:line="240" w:lineRule="auto"/>
      </w:pPr>
      <w:r>
        <w:separator/>
      </w:r>
    </w:p>
  </w:footnote>
  <w:footnote w:type="continuationSeparator" w:id="0">
    <w:p w14:paraId="41651E4B" w14:textId="77777777" w:rsidR="00191EE7" w:rsidRDefault="00191EE7" w:rsidP="00BF7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33D6" w14:textId="368B2B69" w:rsidR="00CB5712" w:rsidRDefault="00354201" w:rsidP="002315BF">
    <w:pPr>
      <w:pStyle w:val="Header"/>
    </w:pPr>
    <w:r>
      <w:tab/>
    </w:r>
    <w:r w:rsidR="00CB5712">
      <w:t xml:space="preserve">Attachment </w:t>
    </w:r>
    <w:r w:rsidR="00822557">
      <w:t>M</w:t>
    </w:r>
    <w:r w:rsidR="00CB5712">
      <w:ptab w:relativeTo="margin" w:alignment="center" w:leader="none"/>
    </w:r>
    <w:r w:rsidR="00CB571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5FD"/>
    <w:multiLevelType w:val="hybridMultilevel"/>
    <w:tmpl w:val="0C5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30914"/>
    <w:multiLevelType w:val="hybridMultilevel"/>
    <w:tmpl w:val="F6BC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3985">
    <w:abstractNumId w:val="0"/>
  </w:num>
  <w:num w:numId="2" w16cid:durableId="1260214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9E"/>
    <w:rsid w:val="000A1AFF"/>
    <w:rsid w:val="000B56FE"/>
    <w:rsid w:val="000C658F"/>
    <w:rsid w:val="000C7E08"/>
    <w:rsid w:val="000D2D37"/>
    <w:rsid w:val="001867D0"/>
    <w:rsid w:val="00190A94"/>
    <w:rsid w:val="00191EE7"/>
    <w:rsid w:val="00200E1E"/>
    <w:rsid w:val="002315BF"/>
    <w:rsid w:val="00235945"/>
    <w:rsid w:val="00237881"/>
    <w:rsid w:val="0028057E"/>
    <w:rsid w:val="00285576"/>
    <w:rsid w:val="00291947"/>
    <w:rsid w:val="00307D49"/>
    <w:rsid w:val="00315DD4"/>
    <w:rsid w:val="00333391"/>
    <w:rsid w:val="00354201"/>
    <w:rsid w:val="00384208"/>
    <w:rsid w:val="003B0917"/>
    <w:rsid w:val="003D33AC"/>
    <w:rsid w:val="003E353F"/>
    <w:rsid w:val="003F7A47"/>
    <w:rsid w:val="00447458"/>
    <w:rsid w:val="00483FEF"/>
    <w:rsid w:val="00487A8F"/>
    <w:rsid w:val="004B1E0A"/>
    <w:rsid w:val="004B48F5"/>
    <w:rsid w:val="004E570D"/>
    <w:rsid w:val="004F0290"/>
    <w:rsid w:val="004F5366"/>
    <w:rsid w:val="0055177C"/>
    <w:rsid w:val="00562706"/>
    <w:rsid w:val="005C327A"/>
    <w:rsid w:val="006368D5"/>
    <w:rsid w:val="0066241A"/>
    <w:rsid w:val="0069258D"/>
    <w:rsid w:val="006B6B17"/>
    <w:rsid w:val="007107BE"/>
    <w:rsid w:val="00727946"/>
    <w:rsid w:val="00732F5E"/>
    <w:rsid w:val="00736A39"/>
    <w:rsid w:val="00754A0D"/>
    <w:rsid w:val="00761728"/>
    <w:rsid w:val="00763488"/>
    <w:rsid w:val="00795B18"/>
    <w:rsid w:val="008115D6"/>
    <w:rsid w:val="00822557"/>
    <w:rsid w:val="00830925"/>
    <w:rsid w:val="008463D8"/>
    <w:rsid w:val="008511AE"/>
    <w:rsid w:val="008635FC"/>
    <w:rsid w:val="00872072"/>
    <w:rsid w:val="00931D98"/>
    <w:rsid w:val="00990D43"/>
    <w:rsid w:val="009B651C"/>
    <w:rsid w:val="00A56A64"/>
    <w:rsid w:val="00AA5446"/>
    <w:rsid w:val="00AD20C9"/>
    <w:rsid w:val="00AF56DB"/>
    <w:rsid w:val="00B10D1A"/>
    <w:rsid w:val="00B7009F"/>
    <w:rsid w:val="00BD3994"/>
    <w:rsid w:val="00BF7E9E"/>
    <w:rsid w:val="00C456F2"/>
    <w:rsid w:val="00C62886"/>
    <w:rsid w:val="00CB5712"/>
    <w:rsid w:val="00D40673"/>
    <w:rsid w:val="00D77710"/>
    <w:rsid w:val="00DA0A4F"/>
    <w:rsid w:val="00DA32AF"/>
    <w:rsid w:val="00E7354E"/>
    <w:rsid w:val="00E82500"/>
    <w:rsid w:val="00F12421"/>
    <w:rsid w:val="00FC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5E0E"/>
  <w15:chartTrackingRefBased/>
  <w15:docId w15:val="{08C7468E-F443-441A-8FBA-A1E4B63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12"/>
  </w:style>
  <w:style w:type="paragraph" w:styleId="Footer">
    <w:name w:val="footer"/>
    <w:basedOn w:val="Normal"/>
    <w:link w:val="FooterChar"/>
    <w:uiPriority w:val="99"/>
    <w:unhideWhenUsed/>
    <w:rsid w:val="00CB5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12"/>
  </w:style>
  <w:style w:type="character" w:styleId="Hyperlink">
    <w:name w:val="Hyperlink"/>
    <w:basedOn w:val="DefaultParagraphFont"/>
    <w:uiPriority w:val="99"/>
    <w:unhideWhenUsed/>
    <w:rsid w:val="00384208"/>
    <w:rPr>
      <w:color w:val="0563C1"/>
      <w:u w:val="single"/>
    </w:rPr>
  </w:style>
  <w:style w:type="paragraph" w:styleId="FootnoteText">
    <w:name w:val="footnote text"/>
    <w:basedOn w:val="Normal"/>
    <w:link w:val="FootnoteTextChar"/>
    <w:uiPriority w:val="99"/>
    <w:unhideWhenUsed/>
    <w:rsid w:val="0038420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384208"/>
    <w:rPr>
      <w:rFonts w:ascii="Calibri" w:hAnsi="Calibri" w:cs="Calibri"/>
      <w:sz w:val="20"/>
      <w:szCs w:val="20"/>
    </w:rPr>
  </w:style>
  <w:style w:type="character" w:styleId="FootnoteReference">
    <w:name w:val="footnote reference"/>
    <w:basedOn w:val="DefaultParagraphFont"/>
    <w:uiPriority w:val="99"/>
    <w:semiHidden/>
    <w:unhideWhenUsed/>
    <w:rsid w:val="00384208"/>
    <w:rPr>
      <w:vertAlign w:val="superscript"/>
    </w:rPr>
  </w:style>
  <w:style w:type="paragraph" w:styleId="ListParagraph">
    <w:name w:val="List Paragraph"/>
    <w:basedOn w:val="Normal"/>
    <w:uiPriority w:val="34"/>
    <w:qFormat/>
    <w:rsid w:val="004F5366"/>
    <w:pPr>
      <w:spacing w:after="160" w:line="259" w:lineRule="auto"/>
      <w:ind w:left="720"/>
      <w:contextualSpacing/>
    </w:pPr>
  </w:style>
  <w:style w:type="character" w:styleId="CommentReference">
    <w:name w:val="annotation reference"/>
    <w:basedOn w:val="DefaultParagraphFont"/>
    <w:uiPriority w:val="99"/>
    <w:semiHidden/>
    <w:unhideWhenUsed/>
    <w:rsid w:val="000B56FE"/>
    <w:rPr>
      <w:sz w:val="16"/>
      <w:szCs w:val="16"/>
    </w:rPr>
  </w:style>
  <w:style w:type="paragraph" w:styleId="CommentText">
    <w:name w:val="annotation text"/>
    <w:basedOn w:val="Normal"/>
    <w:link w:val="CommentTextChar"/>
    <w:uiPriority w:val="99"/>
    <w:unhideWhenUsed/>
    <w:rsid w:val="000B56FE"/>
    <w:pPr>
      <w:spacing w:line="240" w:lineRule="auto"/>
    </w:pPr>
    <w:rPr>
      <w:sz w:val="20"/>
      <w:szCs w:val="20"/>
    </w:rPr>
  </w:style>
  <w:style w:type="character" w:customStyle="1" w:styleId="CommentTextChar">
    <w:name w:val="Comment Text Char"/>
    <w:basedOn w:val="DefaultParagraphFont"/>
    <w:link w:val="CommentText"/>
    <w:uiPriority w:val="99"/>
    <w:rsid w:val="000B56FE"/>
    <w:rPr>
      <w:sz w:val="20"/>
      <w:szCs w:val="20"/>
    </w:rPr>
  </w:style>
  <w:style w:type="paragraph" w:styleId="CommentSubject">
    <w:name w:val="annotation subject"/>
    <w:basedOn w:val="CommentText"/>
    <w:next w:val="CommentText"/>
    <w:link w:val="CommentSubjectChar"/>
    <w:uiPriority w:val="99"/>
    <w:semiHidden/>
    <w:unhideWhenUsed/>
    <w:rsid w:val="000B56FE"/>
    <w:rPr>
      <w:b/>
      <w:bCs/>
    </w:rPr>
  </w:style>
  <w:style w:type="character" w:customStyle="1" w:styleId="CommentSubjectChar">
    <w:name w:val="Comment Subject Char"/>
    <w:basedOn w:val="CommentTextChar"/>
    <w:link w:val="CommentSubject"/>
    <w:uiPriority w:val="99"/>
    <w:semiHidden/>
    <w:rsid w:val="000B5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r.lumen.com/financials/sec-filing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24.q4cdn.com/287068338/files/doc_financials/2023/ar/413614-1-_19_Lumen_NPS-AR-Combo_WR_R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FCDD2-D704-415F-9FDF-3F492689933C}">
  <ds:schemaRefs>
    <ds:schemaRef ds:uri="http://schemas.microsoft.com/sharepoint/v3/contenttype/forms"/>
  </ds:schemaRefs>
</ds:datastoreItem>
</file>

<file path=customXml/itemProps2.xml><?xml version="1.0" encoding="utf-8"?>
<ds:datastoreItem xmlns:ds="http://schemas.openxmlformats.org/officeDocument/2006/customXml" ds:itemID="{8F94FA3F-05E8-468C-BEE1-9EFDAF9B4CE7}">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3.xml><?xml version="1.0" encoding="utf-8"?>
<ds:datastoreItem xmlns:ds="http://schemas.openxmlformats.org/officeDocument/2006/customXml" ds:itemID="{9D54125B-4299-43BE-AABF-9A871E8F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24</cp:revision>
  <dcterms:created xsi:type="dcterms:W3CDTF">2023-02-06T15:45:00Z</dcterms:created>
  <dcterms:modified xsi:type="dcterms:W3CDTF">2023-04-21T17:18:00Z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