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57AEC454" w:rsidR="0031234B" w:rsidRDefault="0031234B" w:rsidP="0031234B">
      <w:r>
        <w:t>Chadron NBBD Grant Application</w:t>
      </w:r>
    </w:p>
    <w:p w14:paraId="66AEC240" w14:textId="76FC1B61" w:rsidR="0031234B" w:rsidRDefault="0031234B"/>
    <w:p w14:paraId="4FF3BDC4"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CenturyLink QC is part of Lumen Technologies, Inc. (Lumen).  Lumen is a global communications, hosting, cloud, and IT services company enabling millions of customers to transform their businesses and lives through innovative technology solutions.  Lumen is the 2</w:t>
      </w:r>
      <w:r w:rsidRPr="003E243F">
        <w:rPr>
          <w:rFonts w:eastAsia="Times New Roman" w:cstheme="minorHAnsi"/>
          <w:vertAlign w:val="superscript"/>
          <w:lang w:bidi="en-US"/>
        </w:rPr>
        <w:t>nd</w:t>
      </w:r>
      <w:r w:rsidRPr="003E243F">
        <w:rPr>
          <w:rFonts w:eastAsia="Times New Roman" w:cstheme="minorHAnsi"/>
          <w:lang w:bidi="en-US"/>
        </w:rPr>
        <w:t xml:space="preserve"> largest U.S. communications provider to global enterprise customers.  The company offers network and data systems management, Big Data analytics and IT consulting, and serves customers in more than 60 countries, providing broadband, voice, video, data, and managed services over its 450,000 global route miles of fiber.  </w:t>
      </w:r>
    </w:p>
    <w:p w14:paraId="54C3E124" w14:textId="77777777" w:rsidR="002C089D" w:rsidRPr="003E243F" w:rsidRDefault="002C089D" w:rsidP="002C089D">
      <w:pPr>
        <w:spacing w:before="200" w:line="271" w:lineRule="auto"/>
        <w:ind w:right="180"/>
        <w:contextualSpacing/>
        <w:rPr>
          <w:rFonts w:eastAsia="Times New Roman" w:cstheme="minorHAnsi"/>
          <w:lang w:bidi="en-US"/>
        </w:rPr>
      </w:pPr>
    </w:p>
    <w:p w14:paraId="79A11337"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2C089D" w:rsidP="002C089D">
      <w:pPr>
        <w:autoSpaceDE w:val="0"/>
        <w:autoSpaceDN w:val="0"/>
        <w:adjustRightInd w:val="0"/>
        <w:spacing w:after="0" w:line="240" w:lineRule="auto"/>
        <w:rPr>
          <w:rFonts w:cstheme="minorHAnsi"/>
          <w:color w:val="0000FF"/>
          <w:u w:val="single"/>
        </w:rPr>
      </w:pPr>
      <w:hyperlink r:id="rId7" w:history="1">
        <w:r w:rsidRPr="003E243F">
          <w:rPr>
            <w:rStyle w:val="Hyperlink"/>
            <w:rFonts w:cstheme="minorHAnsi"/>
          </w:rPr>
          <w:t>https://www.lumen.com/en-us/home.html</w:t>
        </w:r>
      </w:hyperlink>
    </w:p>
    <w:p w14:paraId="32167B75" w14:textId="77777777" w:rsidR="002C089D" w:rsidRPr="003E243F" w:rsidRDefault="002C089D" w:rsidP="002C089D">
      <w:pPr>
        <w:rPr>
          <w:rFonts w:cstheme="minorHAnsi"/>
        </w:rPr>
      </w:pPr>
      <w:hyperlink r:id="rId8" w:history="1">
        <w:r w:rsidRPr="003E243F">
          <w:rPr>
            <w:rFonts w:cstheme="minorHAnsi"/>
            <w:color w:val="0000FF" w:themeColor="hyperlink"/>
            <w:u w:val="single"/>
          </w:rPr>
          <w:t>https://www.lumen.com/en-us/networking/business-fiber.html</w:t>
        </w:r>
      </w:hyperlink>
    </w:p>
    <w:p w14:paraId="238B0E20" w14:textId="77777777" w:rsidR="002C089D" w:rsidRPr="003E243F" w:rsidRDefault="002C089D" w:rsidP="002C089D">
      <w:pPr>
        <w:spacing w:after="0"/>
        <w:rPr>
          <w:rFonts w:cstheme="minorHAnsi"/>
        </w:rPr>
      </w:pPr>
      <w:bookmarkStart w:id="0" w:name="_Hlk101857562"/>
      <w:r w:rsidRPr="003E243F">
        <w:rPr>
          <w:rFonts w:cstheme="minorHAnsi"/>
        </w:rPr>
        <w:t>Biographies of key officers in Lumen can be found at the following link:</w:t>
      </w:r>
    </w:p>
    <w:p w14:paraId="28A99434" w14:textId="77777777" w:rsidR="002C089D" w:rsidRPr="003E243F" w:rsidRDefault="002C089D" w:rsidP="002C089D">
      <w:pPr>
        <w:spacing w:after="0"/>
        <w:rPr>
          <w:rFonts w:cstheme="minorHAnsi"/>
          <w:color w:val="0070C0"/>
        </w:rPr>
      </w:pPr>
      <w:hyperlink r:id="rId9" w:history="1">
        <w:r w:rsidRPr="003E243F">
          <w:rPr>
            <w:rStyle w:val="Hyperlink"/>
            <w:rFonts w:cstheme="minorHAnsi"/>
          </w:rPr>
          <w:t>https://news.lumen.com/executive-bios</w:t>
        </w:r>
      </w:hyperlink>
    </w:p>
    <w:bookmarkEnd w:id="0"/>
    <w:p w14:paraId="0CA759AC" w14:textId="77777777" w:rsidR="002C089D" w:rsidRPr="003E243F" w:rsidRDefault="002C089D" w:rsidP="002C089D">
      <w:pPr>
        <w:spacing w:before="200" w:line="271" w:lineRule="auto"/>
        <w:ind w:right="180"/>
        <w:contextualSpacing/>
        <w:rPr>
          <w:rFonts w:eastAsia="Times New Roman" w:cstheme="minorHAnsi"/>
          <w:lang w:bidi="en-US"/>
        </w:rPr>
      </w:pPr>
    </w:p>
    <w:p w14:paraId="0B27D99A"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the Lumen has completed numerous residential and business Fiber-To-The-Premise (FTTP) projects company-</w:t>
      </w:r>
      <w:proofErr w:type="gramStart"/>
      <w:r w:rsidRPr="003E243F">
        <w:rPr>
          <w:rFonts w:eastAsia="Times New Roman" w:cstheme="minorHAnsi"/>
          <w:lang w:bidi="en-US"/>
        </w:rPr>
        <w:t>wide, and</w:t>
      </w:r>
      <w:proofErr w:type="gramEnd"/>
      <w:r w:rsidRPr="003E243F">
        <w:rPr>
          <w:rFonts w:eastAsia="Times New Roman" w:cstheme="minorHAnsi"/>
          <w:lang w:bidi="en-US"/>
        </w:rPr>
        <w:t xml:space="preserve">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37205376" w14:textId="77777777" w:rsidR="002C089D" w:rsidRPr="003E243F" w:rsidRDefault="002C089D" w:rsidP="002C089D">
      <w:pPr>
        <w:spacing w:before="200" w:line="271" w:lineRule="auto"/>
        <w:ind w:right="180"/>
        <w:contextualSpacing/>
        <w:rPr>
          <w:rFonts w:cstheme="minorHAnsi"/>
          <w:color w:val="0D0D0D" w:themeColor="text1" w:themeTint="F2"/>
        </w:rPr>
      </w:pPr>
    </w:p>
    <w:p w14:paraId="6E2EB433" w14:textId="77777777"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10C3FCAB" w14:textId="77777777" w:rsidR="002C089D" w:rsidRPr="003E243F" w:rsidRDefault="002C089D" w:rsidP="002C089D">
      <w:pPr>
        <w:shd w:val="clear" w:color="auto" w:fill="FFFFFF"/>
        <w:spacing w:after="0" w:line="240" w:lineRule="auto"/>
        <w:rPr>
          <w:rFonts w:eastAsia="Times New Roman" w:cstheme="minorHAnsi"/>
          <w:bCs/>
          <w:color w:val="0D0D0D" w:themeColor="text1" w:themeTint="F2"/>
        </w:rPr>
      </w:pPr>
      <w:r w:rsidRPr="003E243F">
        <w:rPr>
          <w:rFonts w:eastAsia="Times New Roman" w:cstheme="minorHAnsi"/>
          <w:bCs/>
          <w:color w:val="0D0D0D" w:themeColor="text1" w:themeTint="F2"/>
        </w:rPr>
        <w:t xml:space="preserve">CenturyLink QC will deploy a Gigabit Passive Optical Network (GPON) for this project.  </w:t>
      </w:r>
      <w:r w:rsidRPr="003E243F">
        <w:rPr>
          <w:rFonts w:cstheme="minorHAnsi"/>
        </w:rPr>
        <w:t xml:space="preserve">By nature, FTTP technology is a future proof/scalable technology, and the GPON equipment will support speeds well above 100/20Mbps.  </w:t>
      </w:r>
      <w:r w:rsidRPr="003E243F">
        <w:rPr>
          <w:rFonts w:eastAsia="Times New Roman" w:cstheme="minorHAnsi"/>
          <w:bCs/>
          <w:color w:val="0D0D0D" w:themeColor="text1" w:themeTint="F2"/>
        </w:rPr>
        <w:t xml:space="preserve">The company is committed to remain an industry leading provider of fiber internet services and will deploy GPON FTTP in all grant-awarded locations. The company is also utilizing versions </w:t>
      </w:r>
      <w:r w:rsidRPr="003E243F">
        <w:rPr>
          <w:rFonts w:eastAsia="Times New Roman" w:cstheme="minorHAnsi"/>
          <w:bCs/>
          <w:color w:val="0D0D0D" w:themeColor="text1" w:themeTint="F2"/>
        </w:rPr>
        <w:lastRenderedPageBreak/>
        <w:t>of GPON technology for the areas it was awarded under the FCC’s Rural Digital Opportunity Fund (RDOF) program, as well as its internally funded projects around the country.</w:t>
      </w: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1" w:name="_Hlk101946770"/>
    </w:p>
    <w:p w14:paraId="0A739E0C"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Chadron project will provide fiber-based internet services and voice services to each location within the project area.  The number of locations by project is included in Attachment H, along with the financial information and the amount of the grant request.</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Lumen has built FTTP networks to 2.8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1"/>
    <w:p w14:paraId="484CF8ED" w14:textId="77777777" w:rsidR="002C089D" w:rsidRPr="003E243F" w:rsidRDefault="002C089D" w:rsidP="002C089D">
      <w:pPr>
        <w:tabs>
          <w:tab w:val="left" w:pos="720"/>
          <w:tab w:val="left" w:pos="1440"/>
          <w:tab w:val="left" w:pos="6570"/>
        </w:tabs>
        <w:rPr>
          <w:rFonts w:cstheme="minorHAnsi"/>
        </w:rPr>
      </w:pPr>
    </w:p>
    <w:p w14:paraId="4BF67F74" w14:textId="77777777" w:rsidR="002C089D" w:rsidRPr="003E243F"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4A84596F" w14:textId="77777777" w:rsidR="002C089D" w:rsidRPr="003E243F" w:rsidRDefault="002C089D" w:rsidP="002C089D">
      <w:pPr>
        <w:rPr>
          <w:rFonts w:cstheme="minorHAnsi"/>
        </w:rPr>
      </w:pPr>
      <w:r w:rsidRPr="003E243F">
        <w:rPr>
          <w:rFonts w:cstheme="minorHAnsi"/>
        </w:rPr>
        <w:t xml:space="preserve">The construction materials being used in this grant will be top-quality materials from leading manufacturers.  The fiber will be from Corning and is expected to last at least 30 years.  The electronics, from </w:t>
      </w:r>
      <w:proofErr w:type="spellStart"/>
      <w:r w:rsidRPr="003E243F">
        <w:rPr>
          <w:rFonts w:cstheme="minorHAnsi"/>
        </w:rPr>
        <w:t>Adtran</w:t>
      </w:r>
      <w:proofErr w:type="spellEnd"/>
      <w:r w:rsidRPr="003E243F">
        <w:rPr>
          <w:rFonts w:cstheme="minorHAnsi"/>
        </w:rPr>
        <w:t xml:space="preserve">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2C089D" w:rsidP="002C089D">
      <w:pPr>
        <w:rPr>
          <w:rStyle w:val="Hyperlink"/>
          <w:rFonts w:cstheme="minorHAnsi"/>
        </w:rPr>
      </w:pPr>
      <w:hyperlink r:id="rId10" w:history="1">
        <w:r w:rsidRPr="001932DB">
          <w:rPr>
            <w:rStyle w:val="Hyperlink"/>
            <w:rFonts w:cstheme="minorHAnsi"/>
          </w:rPr>
          <w:t>https://www.corning.com/optical-communications/worldwide/en/home/products/fiber.html</w:t>
        </w:r>
      </w:hyperlink>
    </w:p>
    <w:p w14:paraId="4DC8FF7F" w14:textId="77777777" w:rsidR="002C089D" w:rsidRPr="001932DB" w:rsidRDefault="002C089D" w:rsidP="002C089D">
      <w:pPr>
        <w:rPr>
          <w:rFonts w:cstheme="minorHAnsi"/>
        </w:rPr>
      </w:pPr>
      <w:hyperlink r:id="rId11" w:history="1">
        <w:r w:rsidRPr="001932DB">
          <w:rPr>
            <w:rStyle w:val="Hyperlink"/>
            <w:rFonts w:cstheme="minorHAnsi"/>
          </w:rPr>
          <w:t>https://www.adtran.com/amfile/file/download/file/280/product/5/</w:t>
        </w:r>
      </w:hyperlink>
    </w:p>
    <w:p w14:paraId="32FE9576" w14:textId="77777777" w:rsidR="002C089D" w:rsidRPr="001932DB" w:rsidRDefault="002C089D" w:rsidP="002C089D">
      <w:pPr>
        <w:rPr>
          <w:rFonts w:cstheme="minorHAnsi"/>
        </w:rPr>
      </w:pPr>
      <w:hyperlink r:id="rId12" w:history="1">
        <w:r w:rsidRPr="001932DB">
          <w:rPr>
            <w:rStyle w:val="Hyperlink"/>
            <w:rFonts w:cstheme="minorHAnsi"/>
          </w:rPr>
          <w:t>https://www.adtran.com/media/amasty/amfile/attach/duL2AcanjSSicBps2h5EQVDXqf3QesuZ.pdf</w:t>
        </w:r>
      </w:hyperlink>
    </w:p>
    <w:p w14:paraId="6BB8A00A" w14:textId="77777777" w:rsidR="002C089D" w:rsidRPr="001932DB" w:rsidRDefault="002C089D" w:rsidP="002C089D">
      <w:pPr>
        <w:jc w:val="both"/>
        <w:rPr>
          <w:rFonts w:eastAsia="Times New Roman" w:cstheme="minorHAnsi"/>
        </w:rPr>
      </w:pPr>
      <w:hyperlink r:id="rId13" w:history="1">
        <w:r w:rsidRPr="001932DB">
          <w:rPr>
            <w:rStyle w:val="Hyperlink"/>
            <w:rFonts w:eastAsia="Times New Roman" w:cstheme="minorHAnsi"/>
          </w:rPr>
          <w:t>https://www.calix.com/platforms/axos/axos-systems/10g_ont_onu.html</w:t>
        </w:r>
      </w:hyperlink>
      <w:r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92ED" w14:textId="77777777" w:rsidR="00192315" w:rsidRDefault="00192315" w:rsidP="00A5158D">
      <w:pPr>
        <w:spacing w:after="0" w:line="240" w:lineRule="auto"/>
      </w:pPr>
      <w:r>
        <w:separator/>
      </w:r>
    </w:p>
  </w:endnote>
  <w:endnote w:type="continuationSeparator" w:id="0">
    <w:p w14:paraId="1BE585A7" w14:textId="77777777" w:rsidR="00192315" w:rsidRDefault="00192315"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FC81" w14:textId="77777777" w:rsidR="00192315" w:rsidRDefault="00192315" w:rsidP="00A5158D">
      <w:pPr>
        <w:spacing w:after="0" w:line="240" w:lineRule="auto"/>
      </w:pPr>
      <w:r>
        <w:separator/>
      </w:r>
    </w:p>
  </w:footnote>
  <w:footnote w:type="continuationSeparator" w:id="0">
    <w:p w14:paraId="7B94CEFB" w14:textId="77777777" w:rsidR="00192315" w:rsidRDefault="00192315" w:rsidP="00A5158D">
      <w:pPr>
        <w:spacing w:after="0" w:line="240" w:lineRule="auto"/>
      </w:pPr>
      <w:r>
        <w:continuationSeparator/>
      </w:r>
    </w:p>
  </w:footnote>
  <w:footnote w:id="1">
    <w:p w14:paraId="54AC112A" w14:textId="77777777" w:rsidR="002C089D" w:rsidRPr="00B17400" w:rsidRDefault="002C089D" w:rsidP="002C089D">
      <w:pPr>
        <w:pStyle w:val="FootnoteText"/>
        <w:rPr>
          <w:sz w:val="16"/>
          <w:szCs w:val="16"/>
        </w:rPr>
      </w:pPr>
      <w:r>
        <w:rPr>
          <w:rStyle w:val="FootnoteReference"/>
        </w:rPr>
        <w:footnoteRef/>
      </w:r>
      <w:r>
        <w:t xml:space="preserve"> </w:t>
      </w:r>
      <w:r w:rsidRPr="00B17400">
        <w:rPr>
          <w:sz w:val="16"/>
          <w:szCs w:val="16"/>
        </w:rPr>
        <w:t>4</w:t>
      </w:r>
      <w:r w:rsidRPr="00B17400">
        <w:rPr>
          <w:sz w:val="16"/>
          <w:szCs w:val="16"/>
          <w:vertAlign w:val="superscript"/>
        </w:rPr>
        <w:t>th</w:t>
      </w:r>
      <w:r w:rsidRPr="00B17400">
        <w:rPr>
          <w:sz w:val="16"/>
          <w:szCs w:val="16"/>
        </w:rPr>
        <w:t xml:space="preserve"> Quarter 2021 results presentation, slide 8 chart shows 2.8 million fiber enabled customer locations:</w:t>
      </w:r>
    </w:p>
    <w:p w14:paraId="681B69D9" w14:textId="77777777" w:rsidR="002C089D" w:rsidRPr="00B17400" w:rsidRDefault="002C089D" w:rsidP="002C089D">
      <w:pPr>
        <w:pStyle w:val="FootnoteText"/>
        <w:rPr>
          <w:sz w:val="16"/>
          <w:szCs w:val="16"/>
        </w:rPr>
      </w:pPr>
      <w:hyperlink r:id="rId1" w:history="1">
        <w:r w:rsidRPr="00B17400">
          <w:rPr>
            <w:rStyle w:val="Hyperlink"/>
            <w:sz w:val="16"/>
            <w:szCs w:val="16"/>
          </w:rPr>
          <w:t>https://s24.q4cdn.com/287068338/files/doc_financials/2021/q4/Lumen-4Q21-Earnings-Presentation-Final.pdf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5158D"/>
    <w:rsid w:val="00090B0A"/>
    <w:rsid w:val="000A1AFF"/>
    <w:rsid w:val="000D2D37"/>
    <w:rsid w:val="00192315"/>
    <w:rsid w:val="00205E01"/>
    <w:rsid w:val="00285576"/>
    <w:rsid w:val="00291947"/>
    <w:rsid w:val="002C00D0"/>
    <w:rsid w:val="002C089D"/>
    <w:rsid w:val="0031234B"/>
    <w:rsid w:val="0036713D"/>
    <w:rsid w:val="003E243F"/>
    <w:rsid w:val="003F7A47"/>
    <w:rsid w:val="00754A0D"/>
    <w:rsid w:val="007A5F50"/>
    <w:rsid w:val="008463D8"/>
    <w:rsid w:val="008511AE"/>
    <w:rsid w:val="008E30BC"/>
    <w:rsid w:val="00931D98"/>
    <w:rsid w:val="00990D43"/>
    <w:rsid w:val="00A5158D"/>
    <w:rsid w:val="00AA5446"/>
    <w:rsid w:val="00AF56DB"/>
    <w:rsid w:val="00B10D1A"/>
    <w:rsid w:val="00D77710"/>
    <w:rsid w:val="00DA0A4F"/>
    <w:rsid w:val="00DA32AF"/>
    <w:rsid w:val="00E7354E"/>
    <w:rsid w:val="00EB1F72"/>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en.com/en-us/networking/business-fiber.html" TargetMode="External"/><Relationship Id="rId13" Type="http://schemas.openxmlformats.org/officeDocument/2006/relationships/hyperlink" Target="https://www.calix.com/platforms/axos/axos-systems/10g_ont_onu.html" TargetMode="External"/><Relationship Id="rId3" Type="http://schemas.openxmlformats.org/officeDocument/2006/relationships/settings" Target="settings.xml"/><Relationship Id="rId7" Type="http://schemas.openxmlformats.org/officeDocument/2006/relationships/hyperlink" Target="https://www.lumen.com/en-us/home.html" TargetMode="External"/><Relationship Id="rId12"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rning.com/optical-communications/worldwide/en/home/products/fiber.html" TargetMode="External"/><Relationship Id="rId4" Type="http://schemas.openxmlformats.org/officeDocument/2006/relationships/webSettings" Target="webSettings.xml"/><Relationship Id="rId9" Type="http://schemas.openxmlformats.org/officeDocument/2006/relationships/hyperlink" Target="https://news.lumen.com/executive-bio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24.q4cdn.com/287068338/files/doc_financials/2021/q4/Lumen-4Q21-Earnings-Presentati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5</cp:revision>
  <dcterms:created xsi:type="dcterms:W3CDTF">2022-07-01T14:50:00Z</dcterms:created>
  <dcterms:modified xsi:type="dcterms:W3CDTF">2022-07-01T14:51:00Z</dcterms:modified>
</cp:coreProperties>
</file>